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1B2D4" w14:textId="0EC7AE77" w:rsidR="00D752E2" w:rsidRPr="00841BCD" w:rsidRDefault="00D752E2" w:rsidP="00D752E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#9</w:t>
      </w:r>
      <w:r w:rsidR="00A10FBD">
        <w:rPr>
          <w:rFonts w:ascii="Arial" w:eastAsia="宋体" w:hAnsi="Arial" w:cs="Times New Roman"/>
          <w:b/>
          <w:sz w:val="24"/>
          <w:szCs w:val="20"/>
          <w:lang w:val="en-GB"/>
        </w:rPr>
        <w:t>2</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3B4C89">
        <w:rPr>
          <w:rFonts w:ascii="Arial" w:eastAsia="宋体" w:hAnsi="Arial" w:cs="Times New Roman"/>
          <w:b/>
          <w:bCs/>
          <w:sz w:val="24"/>
          <w:szCs w:val="20"/>
          <w:lang w:val="en-GB" w:eastAsia="ja-JP"/>
        </w:rPr>
        <w:t>R4-</w:t>
      </w:r>
      <w:r w:rsidR="00533F9E" w:rsidRPr="003B4C89">
        <w:rPr>
          <w:rFonts w:ascii="Arial" w:eastAsia="宋体" w:hAnsi="Arial" w:cs="Times New Roman"/>
          <w:b/>
          <w:bCs/>
          <w:sz w:val="24"/>
          <w:szCs w:val="20"/>
          <w:lang w:val="en-GB" w:eastAsia="ja-JP"/>
        </w:rPr>
        <w:t>19</w:t>
      </w:r>
      <w:r w:rsidR="00533F9E">
        <w:rPr>
          <w:rFonts w:ascii="Arial" w:eastAsia="宋体" w:hAnsi="Arial" w:cs="Times New Roman"/>
          <w:b/>
          <w:bCs/>
          <w:sz w:val="24"/>
          <w:szCs w:val="20"/>
          <w:lang w:val="en-GB" w:eastAsia="ja-JP"/>
        </w:rPr>
        <w:t>11794</w:t>
      </w:r>
    </w:p>
    <w:p w14:paraId="1C965EBC" w14:textId="7C82190F" w:rsidR="00D752E2" w:rsidRPr="00841BCD" w:rsidRDefault="008F69B5" w:rsidP="00D752E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Chongqing, China, 14 – 18 October 2019</w:t>
      </w:r>
      <w:r>
        <w:rPr>
          <w:rFonts w:ascii="Arial" w:eastAsia="宋体" w:hAnsi="Arial" w:cs="Times New Roman"/>
          <w:b/>
          <w:sz w:val="24"/>
          <w:szCs w:val="20"/>
          <w:lang w:val="en-GB"/>
        </w:rPr>
        <w:tab/>
      </w:r>
    </w:p>
    <w:bookmarkEnd w:id="0"/>
    <w:bookmarkEnd w:id="1"/>
    <w:p w14:paraId="4FBD258B" w14:textId="77777777" w:rsidR="00D752E2" w:rsidRPr="00841BCD" w:rsidRDefault="00D752E2" w:rsidP="00D752E2">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265617C5" w14:textId="77777777" w:rsidR="00D752E2" w:rsidRPr="00841BCD" w:rsidRDefault="00D752E2" w:rsidP="00D752E2">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DAA4FA" w14:textId="7281F4F2" w:rsidR="00D752E2" w:rsidRPr="00841BCD" w:rsidRDefault="00D752E2" w:rsidP="00D752E2">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05F92">
        <w:rPr>
          <w:rFonts w:ascii="Arial" w:eastAsia="Calibri" w:hAnsi="Arial" w:cs="Arial"/>
          <w:b/>
          <w:bCs/>
          <w:sz w:val="24"/>
          <w:lang w:val="en-GB"/>
        </w:rPr>
        <w:t xml:space="preserve">SSB based RRM </w:t>
      </w:r>
      <w:r w:rsidR="00552147">
        <w:rPr>
          <w:rFonts w:ascii="Arial" w:eastAsia="Calibri" w:hAnsi="Arial" w:cs="Arial"/>
          <w:b/>
          <w:bCs/>
          <w:sz w:val="24"/>
          <w:lang w:val="en-GB"/>
        </w:rPr>
        <w:t>requirements</w:t>
      </w:r>
      <w:r w:rsidR="00533F9E">
        <w:rPr>
          <w:rFonts w:ascii="Arial" w:eastAsia="Calibri" w:hAnsi="Arial" w:cs="Arial"/>
          <w:b/>
          <w:bCs/>
          <w:sz w:val="24"/>
          <w:lang w:val="en-GB"/>
        </w:rPr>
        <w:t xml:space="preserve"> for IAB</w:t>
      </w:r>
    </w:p>
    <w:p w14:paraId="11F7DE72" w14:textId="7D684A5B" w:rsidR="00D752E2" w:rsidRPr="00841BCD" w:rsidRDefault="00D752E2" w:rsidP="00D752E2">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33F9E">
        <w:rPr>
          <w:rFonts w:ascii="Arial" w:eastAsia="MS Mincho" w:hAnsi="Arial" w:cs="Arial"/>
          <w:b/>
          <w:bCs/>
          <w:sz w:val="24"/>
          <w:szCs w:val="20"/>
          <w:lang w:val="en-GB"/>
        </w:rPr>
        <w:t>8.5.4.2</w:t>
      </w:r>
    </w:p>
    <w:p w14:paraId="6D1D63CC" w14:textId="77777777" w:rsidR="00D752E2" w:rsidRPr="00841BCD" w:rsidRDefault="00D752E2" w:rsidP="00D752E2">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B8A85A5" w14:textId="77777777" w:rsidR="00D752E2" w:rsidRDefault="00D752E2" w:rsidP="00D752E2">
      <w:pPr>
        <w:pStyle w:val="RAN4H1"/>
      </w:pPr>
      <w:bookmarkStart w:id="3" w:name="_Ref20751443"/>
      <w:r w:rsidRPr="00AE56B1">
        <w:t>Intro</w:t>
      </w:r>
      <w:r w:rsidRPr="00AE56B1">
        <w:rPr>
          <w:rStyle w:val="RAN4H1Char"/>
        </w:rPr>
        <w:t>ductio</w:t>
      </w:r>
      <w:r w:rsidRPr="00AE56B1">
        <w:t>n</w:t>
      </w:r>
      <w:bookmarkEnd w:id="3"/>
    </w:p>
    <w:p w14:paraId="4309E402" w14:textId="68E5D030" w:rsidR="00D752E2" w:rsidRDefault="00552147" w:rsidP="00552147">
      <w:pPr>
        <w:jc w:val="both"/>
        <w:rPr>
          <w:lang w:val="en-GB"/>
        </w:rPr>
      </w:pPr>
      <w:r>
        <w:rPr>
          <w:lang w:val="en-GB"/>
        </w:rPr>
        <w:t>RAN4#92 discussed the need for IAB SSB based RRM requirements but no conclusions were reached</w:t>
      </w:r>
      <w:r w:rsidR="0086490D">
        <w:rPr>
          <w:lang w:val="en-GB"/>
        </w:rPr>
        <w:t xml:space="preserve"> [1]</w:t>
      </w:r>
      <w:r>
        <w:rPr>
          <w:lang w:val="en-GB"/>
        </w:rPr>
        <w:t>. In this paper we analyse the IAB behaviour during the integration and during the IAB active operation, and whether IAB specific requirements should be specified.</w:t>
      </w:r>
    </w:p>
    <w:p w14:paraId="57AD0F6C" w14:textId="5B743EB8" w:rsidR="00552147" w:rsidRDefault="00552147" w:rsidP="00552147">
      <w:pPr>
        <w:pStyle w:val="RAN4H1"/>
      </w:pPr>
      <w:r>
        <w:t>Discussion</w:t>
      </w:r>
    </w:p>
    <w:p w14:paraId="6F82B463" w14:textId="5BE73255" w:rsidR="00D752E2" w:rsidRDefault="00552147" w:rsidP="0016155B">
      <w:pPr>
        <w:pStyle w:val="RAN4H2"/>
        <w:rPr>
          <w:lang w:val="en-GB"/>
        </w:rPr>
      </w:pPr>
      <w:r>
        <w:rPr>
          <w:lang w:val="en-GB"/>
        </w:rPr>
        <w:t>IAB extensions for SSB TX and RX</w:t>
      </w:r>
    </w:p>
    <w:p w14:paraId="296C59E7" w14:textId="7F5D140D" w:rsidR="006C370B" w:rsidRDefault="00C02EA7" w:rsidP="0016155B">
      <w:pPr>
        <w:rPr>
          <w:rFonts w:eastAsiaTheme="minorEastAsia"/>
          <w:lang w:val="en-GB"/>
        </w:rPr>
      </w:pPr>
      <w:r>
        <w:rPr>
          <w:lang w:val="en-GB"/>
        </w:rPr>
        <w:t xml:space="preserve">RAN 1 has agreed on SSB TX and RX configurations that support inter node discovery and measurements between nodes that are already serving UEs </w:t>
      </w:r>
      <w:r w:rsidR="00C655DD">
        <w:rPr>
          <w:lang w:val="en-GB"/>
        </w:rPr>
        <w:t>and/</w:t>
      </w:r>
      <w:r>
        <w:rPr>
          <w:lang w:val="en-GB"/>
        </w:rPr>
        <w:t xml:space="preserve">or providing backhaul connection to their child nodes. </w:t>
      </w:r>
      <w:r w:rsidR="00C655DD">
        <w:rPr>
          <w:lang w:val="en-GB"/>
        </w:rPr>
        <w:t>An SSB TX configuration, STC,</w:t>
      </w:r>
      <w:r w:rsidR="00D274E5">
        <w:rPr>
          <w:lang w:val="en-GB"/>
        </w:rPr>
        <w:t xml:space="preserve"> </w:t>
      </w:r>
      <w:r w:rsidR="00C655DD">
        <w:rPr>
          <w:lang w:val="en-GB"/>
        </w:rPr>
        <w:t>includes SSB center frequency, SCS, periodicity (</w:t>
      </w:r>
      <w:r w:rsidR="00D274E5">
        <w:rPr>
          <w:lang w:val="en-GB"/>
        </w:rPr>
        <w:t xml:space="preserve">from 5 </w:t>
      </w:r>
      <w:r w:rsidR="00C655DD">
        <w:rPr>
          <w:lang w:val="en-GB"/>
        </w:rPr>
        <w:t>up to 640ms), timing offset</w:t>
      </w:r>
      <w:r w:rsidR="00D274E5">
        <w:rPr>
          <w:lang w:val="en-GB"/>
        </w:rPr>
        <w:t>, and indexes of SSBs to transmit. An SSB measurement timing configuration, SMTC, includes periodicity (from 5 up to 1280ms), timing offset</w:t>
      </w:r>
      <w:r w:rsidR="006C370B">
        <w:rPr>
          <w:lang w:val="en-GB"/>
        </w:rPr>
        <w:t xml:space="preserve">, </w:t>
      </w:r>
      <w:r w:rsidR="00D274E5">
        <w:rPr>
          <w:lang w:val="en-GB"/>
        </w:rPr>
        <w:t>duration of the measurement window, and SSB indexes and PCIs to measure. Up to four STCs and four SMTCs can be configured per frequency.</w:t>
      </w:r>
      <w:r w:rsidR="00215195">
        <w:rPr>
          <w:lang w:val="en-GB"/>
        </w:rPr>
        <w:t xml:space="preserve"> Th</w:t>
      </w:r>
      <w:r w:rsidR="00A34385">
        <w:rPr>
          <w:lang w:val="en-GB"/>
        </w:rPr>
        <w:t>ese numbers</w:t>
      </w:r>
      <w:r w:rsidR="00215195">
        <w:rPr>
          <w:lang w:val="en-GB"/>
        </w:rPr>
        <w:t xml:space="preserve"> </w:t>
      </w:r>
      <w:r w:rsidR="00A34385">
        <w:rPr>
          <w:lang w:val="en-GB"/>
        </w:rPr>
        <w:t xml:space="preserve">allow sufficiently many </w:t>
      </w:r>
      <w:r w:rsidR="00215195">
        <w:rPr>
          <w:lang w:val="en-GB"/>
        </w:rPr>
        <w:t>TX-RX patterns for performing measurements under the half duplex constraint that DU TX cannot overlap in time with MT RX</w:t>
      </w:r>
      <w:r w:rsidR="00A34385">
        <w:rPr>
          <w:lang w:val="en-GB"/>
        </w:rPr>
        <w:t>.</w:t>
      </w:r>
      <w:r w:rsidR="006C370B">
        <w:rPr>
          <w:lang w:val="en-GB"/>
        </w:rPr>
        <w:t xml:space="preserve"> With the maximum number of STCs and SMTCs there are </w:t>
      </w:r>
      <m:oMath>
        <m:d>
          <m:dPr>
            <m:ctrlPr>
              <w:rPr>
                <w:rFonts w:ascii="Cambria Math" w:hAnsi="Cambria Math"/>
                <w:i/>
                <w:lang w:val="en-GB"/>
              </w:rPr>
            </m:ctrlPr>
          </m:dPr>
          <m:e>
            <m:m>
              <m:mPr>
                <m:mcs>
                  <m:mc>
                    <m:mcPr>
                      <m:count m:val="1"/>
                      <m:mcJc m:val="center"/>
                    </m:mcPr>
                  </m:mc>
                </m:mcs>
                <m:ctrlPr>
                  <w:rPr>
                    <w:rFonts w:ascii="Cambria Math" w:hAnsi="Cambria Math"/>
                    <w:i/>
                    <w:lang w:val="en-GB"/>
                  </w:rPr>
                </m:ctrlPr>
              </m:mPr>
              <m:mr>
                <m:e>
                  <m:r>
                    <w:rPr>
                      <w:rFonts w:ascii="Cambria Math" w:hAnsi="Cambria Math"/>
                      <w:lang w:val="en-GB"/>
                    </w:rPr>
                    <m:t>8</m:t>
                  </m:r>
                </m:e>
              </m:mr>
              <m:mr>
                <m:e>
                  <m:r>
                    <w:rPr>
                      <w:rFonts w:ascii="Cambria Math" w:hAnsi="Cambria Math"/>
                      <w:lang w:val="en-GB"/>
                    </w:rPr>
                    <m:t>4</m:t>
                  </m:r>
                </m:e>
              </m:mr>
            </m:m>
          </m:e>
        </m:d>
        <m:r>
          <w:rPr>
            <w:rFonts w:ascii="Cambria Math" w:hAnsi="Cambria Math"/>
            <w:lang w:val="en-GB"/>
          </w:rPr>
          <m:t>=70</m:t>
        </m:r>
      </m:oMath>
      <w:r w:rsidR="006C370B">
        <w:rPr>
          <w:rFonts w:eastAsiaTheme="minorEastAsia"/>
          <w:lang w:val="en-GB"/>
        </w:rPr>
        <w:t xml:space="preserve"> patterns allowing 1-4 measurement opportunities (per period) between nodes allocated with different patterns. </w:t>
      </w:r>
    </w:p>
    <w:p w14:paraId="27D78205" w14:textId="42ECB97B" w:rsidR="003835D6" w:rsidRDefault="00A34385" w:rsidP="0016155B">
      <w:pPr>
        <w:rPr>
          <w:lang w:val="en-GB"/>
        </w:rPr>
      </w:pPr>
      <w:r>
        <w:rPr>
          <w:lang w:val="en-GB"/>
        </w:rPr>
        <w:t>Figure 1 shows an example of six TX-RX patterns that are obtained by configuring two STCs and two SMTCs</w:t>
      </w:r>
      <w:r w:rsidR="006C370B">
        <w:rPr>
          <w:lang w:val="en-GB"/>
        </w:rPr>
        <w:t xml:space="preserve"> per node</w:t>
      </w:r>
      <w:r>
        <w:rPr>
          <w:lang w:val="en-GB"/>
        </w:rPr>
        <w:t>. In addition to the STCs and SMTCs configured for measurements between already serving IAB nodes,</w:t>
      </w:r>
      <w:r w:rsidR="006C370B">
        <w:rPr>
          <w:lang w:val="en-GB"/>
        </w:rPr>
        <w:t xml:space="preserve"> </w:t>
      </w:r>
      <w:r>
        <w:rPr>
          <w:lang w:val="en-GB"/>
        </w:rPr>
        <w:t xml:space="preserve">Figure 1 shows also STCs for access UE and </w:t>
      </w:r>
      <w:r w:rsidR="006C370B">
        <w:rPr>
          <w:lang w:val="en-GB"/>
        </w:rPr>
        <w:t>IAB-</w:t>
      </w:r>
      <w:r>
        <w:rPr>
          <w:lang w:val="en-GB"/>
        </w:rPr>
        <w:t>MT cell selection discussed in Section 2.2.</w:t>
      </w:r>
      <w:r w:rsidR="006C370B">
        <w:rPr>
          <w:lang w:val="en-GB"/>
        </w:rPr>
        <w:t xml:space="preserve"> </w:t>
      </w:r>
      <w:r w:rsidR="006C370B" w:rsidRPr="006C370B">
        <w:rPr>
          <w:noProof/>
          <w:lang w:val="en-GB"/>
        </w:rPr>
        <w:drawing>
          <wp:inline distT="0" distB="0" distL="0" distR="0" wp14:anchorId="5A6DECAA" wp14:editId="34B7479C">
            <wp:extent cx="6113145" cy="1517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1517015"/>
                    </a:xfrm>
                    <a:prstGeom prst="rect">
                      <a:avLst/>
                    </a:prstGeom>
                    <a:noFill/>
                    <a:ln>
                      <a:noFill/>
                    </a:ln>
                  </pic:spPr>
                </pic:pic>
              </a:graphicData>
            </a:graphic>
          </wp:inline>
        </w:drawing>
      </w:r>
    </w:p>
    <w:p w14:paraId="31531C3E" w14:textId="5C6F3EE7" w:rsidR="006C370B" w:rsidRPr="006C370B" w:rsidRDefault="006C370B" w:rsidP="006C370B">
      <w:pPr>
        <w:jc w:val="center"/>
        <w:rPr>
          <w:i/>
          <w:lang w:val="en-GB"/>
        </w:rPr>
      </w:pPr>
      <w:r w:rsidRPr="006C370B">
        <w:rPr>
          <w:b/>
          <w:i/>
          <w:lang w:val="en-GB"/>
        </w:rPr>
        <w:t>Figure 1:</w:t>
      </w:r>
      <w:r w:rsidRPr="006C370B">
        <w:rPr>
          <w:i/>
          <w:lang w:val="en-GB"/>
        </w:rPr>
        <w:t xml:space="preserve"> An example of SSB TX and RX patterns. The figure displays the half-frames with SSBs transmitted for access UEs (and IAB initial access) with 20ms periodicity and the half-frames corresponding to STCs and SMTCs configured with 80ms periodicity for measurements between IAB nodes.</w:t>
      </w:r>
    </w:p>
    <w:p w14:paraId="6F3CCD02" w14:textId="537B0C76" w:rsidR="0016155B" w:rsidRDefault="00552147" w:rsidP="0016155B">
      <w:pPr>
        <w:pStyle w:val="RAN4H2"/>
        <w:rPr>
          <w:lang w:val="en-GB"/>
        </w:rPr>
      </w:pPr>
      <w:r>
        <w:rPr>
          <w:lang w:val="en-GB"/>
        </w:rPr>
        <w:t>IAB cell selection</w:t>
      </w:r>
    </w:p>
    <w:p w14:paraId="051F3EEA" w14:textId="7BF3D27C" w:rsidR="00552147" w:rsidRDefault="00261500" w:rsidP="0016155B">
      <w:pPr>
        <w:rPr>
          <w:lang w:val="en-GB"/>
        </w:rPr>
      </w:pPr>
      <w:r>
        <w:rPr>
          <w:lang w:val="en-GB"/>
        </w:rPr>
        <w:t xml:space="preserve">At </w:t>
      </w:r>
      <w:r w:rsidR="0086490D">
        <w:rPr>
          <w:lang w:val="en-GB"/>
        </w:rPr>
        <w:t xml:space="preserve">power up the IAB node </w:t>
      </w:r>
      <w:r>
        <w:rPr>
          <w:lang w:val="en-GB"/>
        </w:rPr>
        <w:t xml:space="preserve">MT part is active and </w:t>
      </w:r>
      <w:r w:rsidR="0086490D">
        <w:rPr>
          <w:lang w:val="en-GB"/>
        </w:rPr>
        <w:t>is operating according to Rel.15 UE specifications</w:t>
      </w:r>
      <w:r>
        <w:rPr>
          <w:lang w:val="en-GB"/>
        </w:rPr>
        <w:t xml:space="preserve">. The IAB-MT performs the cell selection scanning the available cells. </w:t>
      </w:r>
      <w:r w:rsidR="005B0928">
        <w:rPr>
          <w:lang w:val="en-GB"/>
        </w:rPr>
        <w:t>In addition to power up phase, c</w:t>
      </w:r>
      <w:r w:rsidR="009F72A2">
        <w:rPr>
          <w:lang w:val="en-GB"/>
        </w:rPr>
        <w:t xml:space="preserve">ell selection </w:t>
      </w:r>
      <w:r w:rsidR="00096EC6">
        <w:rPr>
          <w:lang w:val="en-GB"/>
        </w:rPr>
        <w:t>is</w:t>
      </w:r>
      <w:r w:rsidR="009F72A2">
        <w:rPr>
          <w:lang w:val="en-GB"/>
        </w:rPr>
        <w:t xml:space="preserve"> initiated at failure of re-establishment procedure when the IAB-MT goes idle.</w:t>
      </w:r>
    </w:p>
    <w:p w14:paraId="36CBF858" w14:textId="675BF727" w:rsidR="00261500" w:rsidRDefault="00261500" w:rsidP="00261500">
      <w:pPr>
        <w:ind w:left="720"/>
        <w:rPr>
          <w:lang w:val="en-GB"/>
        </w:rPr>
      </w:pPr>
      <w:r>
        <w:rPr>
          <w:lang w:val="en-GB"/>
        </w:rPr>
        <w:lastRenderedPageBreak/>
        <w:t xml:space="preserve">NOTE: RAN3 has agreed for explicit IAB indication </w:t>
      </w:r>
      <w:r w:rsidR="00E55E9C">
        <w:rPr>
          <w:lang w:val="en-GB"/>
        </w:rPr>
        <w:t xml:space="preserve">which </w:t>
      </w:r>
      <w:r>
        <w:rPr>
          <w:lang w:val="en-GB"/>
        </w:rPr>
        <w:t>can be used in the cell selection to select among nodes supporting IAB operation.</w:t>
      </w:r>
    </w:p>
    <w:p w14:paraId="314F86D0" w14:textId="423EA41A" w:rsidR="00261500" w:rsidRDefault="00261500" w:rsidP="0016155B">
      <w:pPr>
        <w:rPr>
          <w:lang w:val="en-GB"/>
        </w:rPr>
      </w:pPr>
      <w:r>
        <w:rPr>
          <w:lang w:val="en-GB"/>
        </w:rPr>
        <w:t xml:space="preserve">For the cell selection </w:t>
      </w:r>
      <w:r w:rsidR="00BB1369">
        <w:rPr>
          <w:lang w:val="en-GB"/>
        </w:rPr>
        <w:t xml:space="preserve">UE </w:t>
      </w:r>
      <w:r>
        <w:rPr>
          <w:lang w:val="en-GB"/>
        </w:rPr>
        <w:t>may scan multiple frequencies, multiple PLMNs, and</w:t>
      </w:r>
      <w:r w:rsidR="00E55E9C">
        <w:rPr>
          <w:lang w:val="en-GB"/>
        </w:rPr>
        <w:t>/or</w:t>
      </w:r>
      <w:r>
        <w:rPr>
          <w:lang w:val="en-GB"/>
        </w:rPr>
        <w:t xml:space="preserve"> </w:t>
      </w:r>
      <w:r w:rsidR="009F72A2">
        <w:rPr>
          <w:lang w:val="en-GB"/>
        </w:rPr>
        <w:t xml:space="preserve">multiple RAT. The </w:t>
      </w:r>
      <w:r w:rsidR="00BB1369">
        <w:rPr>
          <w:lang w:val="en-GB"/>
        </w:rPr>
        <w:t xml:space="preserve">UE </w:t>
      </w:r>
      <w:r w:rsidR="009F72A2">
        <w:rPr>
          <w:lang w:val="en-GB"/>
        </w:rPr>
        <w:t>may use prior knowledge about cells it may have camped on/connected to earlier</w:t>
      </w:r>
      <w:r w:rsidR="00096EC6">
        <w:rPr>
          <w:lang w:val="en-GB"/>
        </w:rPr>
        <w:t xml:space="preserve"> (stored list cell selection)</w:t>
      </w:r>
      <w:r w:rsidR="009F72A2">
        <w:rPr>
          <w:lang w:val="en-GB"/>
        </w:rPr>
        <w:t xml:space="preserve">. </w:t>
      </w:r>
      <w:r w:rsidR="00096EC6">
        <w:rPr>
          <w:lang w:val="en-GB"/>
        </w:rPr>
        <w:t>Historically RAN4 has</w:t>
      </w:r>
      <w:r>
        <w:rPr>
          <w:lang w:val="en-GB"/>
        </w:rPr>
        <w:t xml:space="preserve"> no</w:t>
      </w:r>
      <w:r w:rsidR="00096EC6">
        <w:rPr>
          <w:lang w:val="en-GB"/>
        </w:rPr>
        <w:t>t</w:t>
      </w:r>
      <w:r>
        <w:rPr>
          <w:lang w:val="en-GB"/>
        </w:rPr>
        <w:t xml:space="preserve"> </w:t>
      </w:r>
      <w:r w:rsidR="00096EC6">
        <w:rPr>
          <w:lang w:val="en-GB"/>
        </w:rPr>
        <w:t xml:space="preserve">defined any detailed </w:t>
      </w:r>
      <w:r>
        <w:rPr>
          <w:lang w:val="en-GB"/>
        </w:rPr>
        <w:t>requirements for cell selection</w:t>
      </w:r>
      <w:r w:rsidR="009F72A2">
        <w:rPr>
          <w:lang w:val="en-GB"/>
        </w:rPr>
        <w:t xml:space="preserve"> </w:t>
      </w:r>
      <w:r w:rsidR="00096EC6">
        <w:rPr>
          <w:lang w:val="en-GB"/>
        </w:rPr>
        <w:t xml:space="preserve">procedure </w:t>
      </w:r>
      <w:r w:rsidR="009F72A2">
        <w:rPr>
          <w:lang w:val="en-GB"/>
        </w:rPr>
        <w:t xml:space="preserve">and the actual </w:t>
      </w:r>
      <w:r w:rsidR="00E55E9C">
        <w:rPr>
          <w:lang w:val="en-GB"/>
        </w:rPr>
        <w:t xml:space="preserve">procedure </w:t>
      </w:r>
      <w:r w:rsidR="00096EC6">
        <w:rPr>
          <w:lang w:val="en-GB"/>
        </w:rPr>
        <w:t>is left as</w:t>
      </w:r>
      <w:r w:rsidR="00E55E9C">
        <w:rPr>
          <w:lang w:val="en-GB"/>
        </w:rPr>
        <w:t xml:space="preserve"> </w:t>
      </w:r>
      <w:r w:rsidR="009F72A2">
        <w:rPr>
          <w:lang w:val="en-GB"/>
        </w:rPr>
        <w:t>vendor specific.</w:t>
      </w:r>
      <w:r w:rsidR="00265AD2">
        <w:rPr>
          <w:lang w:val="en-GB"/>
        </w:rPr>
        <w:t xml:space="preserve"> </w:t>
      </w:r>
    </w:p>
    <w:p w14:paraId="050CB974" w14:textId="412EC8CB" w:rsidR="006776AF" w:rsidRDefault="009F72A2" w:rsidP="006776AF">
      <w:pPr>
        <w:rPr>
          <w:lang w:val="en-GB"/>
        </w:rPr>
      </w:pPr>
      <w:r>
        <w:rPr>
          <w:lang w:val="en-GB"/>
        </w:rPr>
        <w:t xml:space="preserve">The cell selection </w:t>
      </w:r>
      <w:r w:rsidR="0066094F">
        <w:rPr>
          <w:lang w:val="en-GB"/>
        </w:rPr>
        <w:t xml:space="preserve">procedure </w:t>
      </w:r>
      <w:r>
        <w:rPr>
          <w:lang w:val="en-GB"/>
        </w:rPr>
        <w:t xml:space="preserve">for IAB-MT </w:t>
      </w:r>
      <w:r w:rsidR="00096EC6">
        <w:rPr>
          <w:lang w:val="en-GB"/>
        </w:rPr>
        <w:t xml:space="preserve">will be similar to existing UE cell selection procedure, </w:t>
      </w:r>
      <w:r>
        <w:rPr>
          <w:lang w:val="en-GB"/>
        </w:rPr>
        <w:t xml:space="preserve">having multiple parameters affecting the time before </w:t>
      </w:r>
      <w:r w:rsidR="00096EC6">
        <w:rPr>
          <w:lang w:val="en-GB"/>
        </w:rPr>
        <w:t xml:space="preserve">a </w:t>
      </w:r>
      <w:r>
        <w:rPr>
          <w:lang w:val="en-GB"/>
        </w:rPr>
        <w:t xml:space="preserve">suitable cell is </w:t>
      </w:r>
      <w:r w:rsidR="00096EC6">
        <w:rPr>
          <w:lang w:val="en-GB"/>
        </w:rPr>
        <w:t xml:space="preserve">detected </w:t>
      </w:r>
      <w:r w:rsidR="00E55E9C">
        <w:rPr>
          <w:lang w:val="en-GB"/>
        </w:rPr>
        <w:t>for connection setup</w:t>
      </w:r>
      <w:r>
        <w:rPr>
          <w:lang w:val="en-GB"/>
        </w:rPr>
        <w:t xml:space="preserve">. </w:t>
      </w:r>
      <w:r w:rsidR="0066094F">
        <w:rPr>
          <w:lang w:val="en-GB"/>
        </w:rPr>
        <w:t xml:space="preserve">There may be only a single PLMN to scan and the number of </w:t>
      </w:r>
      <w:r w:rsidR="00765A32">
        <w:rPr>
          <w:lang w:val="en-GB"/>
        </w:rPr>
        <w:t xml:space="preserve">(preconfigured) </w:t>
      </w:r>
      <w:r w:rsidR="0066094F">
        <w:rPr>
          <w:lang w:val="en-GB"/>
        </w:rPr>
        <w:t xml:space="preserve">frequencies </w:t>
      </w:r>
      <w:r w:rsidR="00096EC6">
        <w:rPr>
          <w:lang w:val="en-GB"/>
        </w:rPr>
        <w:t xml:space="preserve">may </w:t>
      </w:r>
      <w:r w:rsidR="0066094F">
        <w:rPr>
          <w:lang w:val="en-GB"/>
        </w:rPr>
        <w:t xml:space="preserve">be small covering only those </w:t>
      </w:r>
      <w:r w:rsidR="00141C0B">
        <w:rPr>
          <w:lang w:val="en-GB"/>
        </w:rPr>
        <w:t xml:space="preserve">used for IAB. </w:t>
      </w:r>
      <w:r w:rsidR="006776AF">
        <w:rPr>
          <w:lang w:val="en-GB"/>
        </w:rPr>
        <w:t xml:space="preserve">During the IAB integration, possible latency in </w:t>
      </w:r>
      <w:r w:rsidR="00096EC6">
        <w:rPr>
          <w:lang w:val="en-GB"/>
        </w:rPr>
        <w:t>selecting a</w:t>
      </w:r>
      <w:r w:rsidR="006776AF">
        <w:rPr>
          <w:lang w:val="en-GB"/>
        </w:rPr>
        <w:t xml:space="preserve"> cell is not </w:t>
      </w:r>
      <w:r w:rsidR="005B5FA6">
        <w:rPr>
          <w:lang w:val="en-GB"/>
        </w:rPr>
        <w:t xml:space="preserve">seen </w:t>
      </w:r>
      <w:r w:rsidR="006776AF">
        <w:rPr>
          <w:lang w:val="en-GB"/>
        </w:rPr>
        <w:t xml:space="preserve">critical because the cell selection is performed </w:t>
      </w:r>
      <w:r w:rsidR="005B5FA6">
        <w:rPr>
          <w:lang w:val="en-GB"/>
        </w:rPr>
        <w:t xml:space="preserve">only </w:t>
      </w:r>
      <w:r w:rsidR="006776AF">
        <w:rPr>
          <w:lang w:val="en-GB"/>
        </w:rPr>
        <w:t>when a new IAB-node is deployed</w:t>
      </w:r>
      <w:r w:rsidR="005B5FA6">
        <w:rPr>
          <w:lang w:val="en-GB"/>
        </w:rPr>
        <w:t>,</w:t>
      </w:r>
      <w:r w:rsidR="006776AF">
        <w:rPr>
          <w:lang w:val="en-GB"/>
        </w:rPr>
        <w:t xml:space="preserve"> which may not happen very often. The latency would neither affect any ongoing connections.</w:t>
      </w:r>
    </w:p>
    <w:p w14:paraId="1E0EA9B8" w14:textId="1025F760" w:rsidR="006776AF" w:rsidRDefault="00726597" w:rsidP="00B60333">
      <w:pPr>
        <w:rPr>
          <w:b/>
          <w:lang w:val="en-GB"/>
        </w:rPr>
      </w:pPr>
      <w:r>
        <w:rPr>
          <w:b/>
          <w:lang w:val="en-GB"/>
        </w:rPr>
        <w:t>Observation</w:t>
      </w:r>
      <w:r w:rsidR="00434942" w:rsidRPr="00726597">
        <w:rPr>
          <w:b/>
          <w:lang w:val="en-GB"/>
        </w:rPr>
        <w:t xml:space="preserve"> </w:t>
      </w:r>
      <w:r>
        <w:rPr>
          <w:b/>
          <w:lang w:val="en-GB"/>
        </w:rPr>
        <w:t>1</w:t>
      </w:r>
      <w:r w:rsidR="00434942" w:rsidRPr="00726597">
        <w:rPr>
          <w:b/>
          <w:lang w:val="en-GB"/>
        </w:rPr>
        <w:t>:</w:t>
      </w:r>
      <w:r w:rsidR="006776AF">
        <w:rPr>
          <w:b/>
          <w:lang w:val="en-GB"/>
        </w:rPr>
        <w:t xml:space="preserve"> The cell selection during the IAB integration procedure is not time critical.</w:t>
      </w:r>
    </w:p>
    <w:p w14:paraId="1B8FD51A" w14:textId="52EFE285" w:rsidR="006776AF" w:rsidRDefault="00A011A6" w:rsidP="00B60333">
      <w:pPr>
        <w:rPr>
          <w:lang w:val="en-GB"/>
        </w:rPr>
      </w:pPr>
      <w:r>
        <w:rPr>
          <w:lang w:val="en-GB"/>
        </w:rPr>
        <w:t xml:space="preserve">Cell selection may have to be initiated also when the BH connection is lost </w:t>
      </w:r>
      <w:r w:rsidR="00866FFC">
        <w:rPr>
          <w:lang w:val="en-GB"/>
        </w:rPr>
        <w:t xml:space="preserve">which is then </w:t>
      </w:r>
      <w:r>
        <w:rPr>
          <w:lang w:val="en-GB"/>
        </w:rPr>
        <w:t xml:space="preserve">followed by failed re-establishment procedure. In such case it would be good to be able re-connect </w:t>
      </w:r>
      <w:r w:rsidR="00866FFC">
        <w:rPr>
          <w:lang w:val="en-GB"/>
        </w:rPr>
        <w:t xml:space="preserve">as </w:t>
      </w:r>
      <w:r>
        <w:rPr>
          <w:lang w:val="en-GB"/>
        </w:rPr>
        <w:t>fast</w:t>
      </w:r>
      <w:r w:rsidR="00866FFC">
        <w:rPr>
          <w:lang w:val="en-GB"/>
        </w:rPr>
        <w:t xml:space="preserve"> as</w:t>
      </w:r>
      <w:r>
        <w:rPr>
          <w:lang w:val="en-GB"/>
        </w:rPr>
        <w:t xml:space="preserve"> possible. The cell selection may not in this scenario be the bottle neck assuming </w:t>
      </w:r>
      <w:r w:rsidR="00866FFC">
        <w:rPr>
          <w:lang w:val="en-GB"/>
        </w:rPr>
        <w:t xml:space="preserve">that </w:t>
      </w:r>
      <w:r w:rsidR="00C07EA4">
        <w:rPr>
          <w:lang w:val="en-GB"/>
        </w:rPr>
        <w:t xml:space="preserve">the IAB node has prior information about candidate cells from </w:t>
      </w:r>
      <w:r>
        <w:rPr>
          <w:lang w:val="en-GB"/>
        </w:rPr>
        <w:t xml:space="preserve">the </w:t>
      </w:r>
      <w:r w:rsidR="00C07EA4">
        <w:rPr>
          <w:lang w:val="en-GB"/>
        </w:rPr>
        <w:t>previous connection. On the other hand, failed re-establishment may be caused due to non-availability of suitable candidate cell at the BH failure. Therefore, requirements for cell selection may not be of any help in trying to reduce delay for re-connection.</w:t>
      </w:r>
    </w:p>
    <w:p w14:paraId="1BF4E3E2" w14:textId="62511049" w:rsidR="00C07EA4" w:rsidRDefault="00C07EA4" w:rsidP="00C07EA4">
      <w:pPr>
        <w:rPr>
          <w:b/>
          <w:lang w:val="en-GB"/>
        </w:rPr>
      </w:pPr>
      <w:r>
        <w:rPr>
          <w:b/>
          <w:lang w:val="en-GB"/>
        </w:rPr>
        <w:t>Observation</w:t>
      </w:r>
      <w:r w:rsidRPr="00726597">
        <w:rPr>
          <w:b/>
          <w:lang w:val="en-GB"/>
        </w:rPr>
        <w:t xml:space="preserve"> </w:t>
      </w:r>
      <w:r>
        <w:rPr>
          <w:b/>
          <w:lang w:val="en-GB"/>
        </w:rPr>
        <w:t>2</w:t>
      </w:r>
      <w:r w:rsidRPr="00726597">
        <w:rPr>
          <w:b/>
          <w:lang w:val="en-GB"/>
        </w:rPr>
        <w:t>:</w:t>
      </w:r>
      <w:r>
        <w:rPr>
          <w:b/>
          <w:lang w:val="en-GB"/>
        </w:rPr>
        <w:t xml:space="preserve"> It is difficult to set specific requirement for cell selection after connection failure.</w:t>
      </w:r>
    </w:p>
    <w:p w14:paraId="56744942" w14:textId="084B6088" w:rsidR="00C07EA4" w:rsidRDefault="00C07EA4" w:rsidP="00B60333">
      <w:pPr>
        <w:rPr>
          <w:lang w:val="en-GB"/>
        </w:rPr>
      </w:pPr>
      <w:r>
        <w:rPr>
          <w:lang w:val="en-GB"/>
        </w:rPr>
        <w:t xml:space="preserve">For the reasons discussed above, we can conclude that the cell selection </w:t>
      </w:r>
      <w:r w:rsidR="008026BB">
        <w:rPr>
          <w:lang w:val="en-GB"/>
        </w:rPr>
        <w:t>does not have to be specified for IAB-MT.</w:t>
      </w:r>
    </w:p>
    <w:p w14:paraId="47427014" w14:textId="33E02835" w:rsidR="008026BB" w:rsidRPr="008026BB" w:rsidRDefault="008026BB" w:rsidP="00B60333">
      <w:pPr>
        <w:rPr>
          <w:b/>
          <w:lang w:val="en-GB"/>
        </w:rPr>
      </w:pPr>
      <w:r w:rsidRPr="008026BB">
        <w:rPr>
          <w:b/>
          <w:lang w:val="en-GB"/>
        </w:rPr>
        <w:t>Proposal 1: As with access UE, there is no need to specify requirements for IAB-MT cell selection.</w:t>
      </w:r>
    </w:p>
    <w:p w14:paraId="330943E5" w14:textId="67AE2001" w:rsidR="00434942" w:rsidRDefault="00552147" w:rsidP="00B60333">
      <w:pPr>
        <w:rPr>
          <w:b/>
          <w:lang w:val="en-GB"/>
        </w:rPr>
      </w:pPr>
      <w:r>
        <w:rPr>
          <w:b/>
          <w:lang w:val="en-GB"/>
        </w:rPr>
        <w:t xml:space="preserve"> </w:t>
      </w:r>
    </w:p>
    <w:p w14:paraId="62FF4626" w14:textId="57D1F077" w:rsidR="00552147" w:rsidRDefault="00552147" w:rsidP="00552147">
      <w:pPr>
        <w:pStyle w:val="RAN4H2"/>
        <w:rPr>
          <w:lang w:val="en-GB"/>
        </w:rPr>
      </w:pPr>
      <w:r>
        <w:rPr>
          <w:lang w:val="en-GB"/>
        </w:rPr>
        <w:t xml:space="preserve">IAB </w:t>
      </w:r>
      <w:r w:rsidR="008026BB">
        <w:rPr>
          <w:lang w:val="en-GB"/>
        </w:rPr>
        <w:t xml:space="preserve">cell </w:t>
      </w:r>
      <w:r w:rsidR="0082195D">
        <w:rPr>
          <w:lang w:val="en-GB"/>
        </w:rPr>
        <w:t>Change</w:t>
      </w:r>
    </w:p>
    <w:p w14:paraId="3DC5A95E" w14:textId="12D3794B" w:rsidR="00552147" w:rsidRDefault="00F007B3">
      <w:pPr>
        <w:rPr>
          <w:b/>
          <w:lang w:val="en-GB"/>
        </w:rPr>
      </w:pPr>
      <w:r>
        <w:rPr>
          <w:lang w:val="en-GB"/>
        </w:rPr>
        <w:t xml:space="preserve">Generally, IAB-MT is not in idle (excluding power-up phase) except </w:t>
      </w:r>
      <w:r w:rsidR="00B64D94">
        <w:rPr>
          <w:lang w:val="en-GB"/>
        </w:rPr>
        <w:t>when</w:t>
      </w:r>
      <w:r>
        <w:rPr>
          <w:lang w:val="en-GB"/>
        </w:rPr>
        <w:t xml:space="preserve"> cell selection </w:t>
      </w:r>
      <w:r w:rsidR="00B64D94">
        <w:rPr>
          <w:lang w:val="en-GB"/>
        </w:rPr>
        <w:t>has been</w:t>
      </w:r>
      <w:r>
        <w:rPr>
          <w:lang w:val="en-GB"/>
        </w:rPr>
        <w:t xml:space="preserve"> initiated after </w:t>
      </w:r>
      <w:r w:rsidR="00C736C6">
        <w:rPr>
          <w:lang w:val="en-GB"/>
        </w:rPr>
        <w:t xml:space="preserve">failed </w:t>
      </w:r>
      <w:r>
        <w:rPr>
          <w:lang w:val="en-GB"/>
        </w:rPr>
        <w:t xml:space="preserve">RLF </w:t>
      </w:r>
      <w:r w:rsidR="00C736C6">
        <w:rPr>
          <w:lang w:val="en-GB"/>
        </w:rPr>
        <w:t xml:space="preserve">recovery </w:t>
      </w:r>
      <w:r>
        <w:rPr>
          <w:lang w:val="en-GB"/>
        </w:rPr>
        <w:t xml:space="preserve">on the BH link. </w:t>
      </w:r>
    </w:p>
    <w:p w14:paraId="002ED6DD" w14:textId="6A458A8E" w:rsidR="00C74FA2" w:rsidRDefault="00CF70C1" w:rsidP="00552147">
      <w:pPr>
        <w:rPr>
          <w:lang w:val="en-GB"/>
        </w:rPr>
      </w:pPr>
      <w:r>
        <w:rPr>
          <w:lang w:val="en-GB"/>
        </w:rPr>
        <w:t>For access UE, r</w:t>
      </w:r>
      <w:r w:rsidR="00C74FA2">
        <w:rPr>
          <w:lang w:val="en-GB"/>
        </w:rPr>
        <w:t xml:space="preserve">equirements for the idle state cell </w:t>
      </w:r>
      <w:r w:rsidR="00D8650E">
        <w:rPr>
          <w:lang w:val="en-GB"/>
        </w:rPr>
        <w:t>re-</w:t>
      </w:r>
      <w:r w:rsidR="00C74FA2">
        <w:rPr>
          <w:lang w:val="en-GB"/>
        </w:rPr>
        <w:t>selection cover following</w:t>
      </w:r>
      <w:r w:rsidR="00804EAF">
        <w:rPr>
          <w:lang w:val="en-GB"/>
        </w:rPr>
        <w:t xml:space="preserve"> </w:t>
      </w:r>
      <w:r w:rsidR="00804EAF">
        <w:rPr>
          <w:lang w:val="en-GB"/>
        </w:rPr>
        <w:fldChar w:fldCharType="begin"/>
      </w:r>
      <w:r w:rsidR="00804EAF">
        <w:rPr>
          <w:lang w:val="en-GB"/>
        </w:rPr>
        <w:instrText xml:space="preserve"> REF _Ref20751466 \r \h </w:instrText>
      </w:r>
      <w:r w:rsidR="00804EAF">
        <w:rPr>
          <w:lang w:val="en-GB"/>
        </w:rPr>
      </w:r>
      <w:r w:rsidR="00804EAF">
        <w:rPr>
          <w:lang w:val="en-GB"/>
        </w:rPr>
        <w:fldChar w:fldCharType="separate"/>
      </w:r>
      <w:r w:rsidR="00804EAF">
        <w:rPr>
          <w:lang w:val="en-GB"/>
        </w:rPr>
        <w:t>[2]</w:t>
      </w:r>
      <w:r w:rsidR="00804EAF">
        <w:rPr>
          <w:lang w:val="en-GB"/>
        </w:rPr>
        <w:fldChar w:fldCharType="end"/>
      </w:r>
      <w:r w:rsidR="00C74FA2">
        <w:rPr>
          <w:lang w:val="en-GB"/>
        </w:rPr>
        <w:t>:</w:t>
      </w:r>
    </w:p>
    <w:p w14:paraId="21BF95D7" w14:textId="6B3EADC0" w:rsidR="00C74FA2" w:rsidRDefault="00C74FA2" w:rsidP="00C74FA2">
      <w:pPr>
        <w:pStyle w:val="ListParagraph"/>
        <w:numPr>
          <w:ilvl w:val="0"/>
          <w:numId w:val="32"/>
        </w:numPr>
        <w:rPr>
          <w:lang w:val="en-GB"/>
        </w:rPr>
      </w:pPr>
      <w:r>
        <w:rPr>
          <w:lang w:val="en-GB"/>
        </w:rPr>
        <w:t>UE measurement capability</w:t>
      </w:r>
    </w:p>
    <w:p w14:paraId="1A44E879" w14:textId="1109781E" w:rsidR="00C74FA2" w:rsidRDefault="00C74FA2" w:rsidP="00C74FA2">
      <w:pPr>
        <w:pStyle w:val="ListParagraph"/>
        <w:numPr>
          <w:ilvl w:val="0"/>
          <w:numId w:val="32"/>
        </w:numPr>
        <w:rPr>
          <w:lang w:val="en-GB"/>
        </w:rPr>
      </w:pPr>
      <w:r>
        <w:rPr>
          <w:lang w:val="en-GB"/>
        </w:rPr>
        <w:t>Measurements and evaluation of serving cell</w:t>
      </w:r>
    </w:p>
    <w:p w14:paraId="62B52080" w14:textId="1E3AFC28" w:rsidR="00C74FA2" w:rsidRDefault="00C74FA2" w:rsidP="00C74FA2">
      <w:pPr>
        <w:pStyle w:val="ListParagraph"/>
        <w:numPr>
          <w:ilvl w:val="0"/>
          <w:numId w:val="32"/>
        </w:numPr>
        <w:rPr>
          <w:lang w:val="en-GB"/>
        </w:rPr>
      </w:pPr>
      <w:r>
        <w:rPr>
          <w:lang w:val="en-GB"/>
        </w:rPr>
        <w:t>Measurements of intra-frequency NR cells</w:t>
      </w:r>
    </w:p>
    <w:p w14:paraId="00F73CF3" w14:textId="0499B927" w:rsidR="00C74FA2" w:rsidRDefault="00C74FA2" w:rsidP="00C74FA2">
      <w:pPr>
        <w:pStyle w:val="ListParagraph"/>
        <w:numPr>
          <w:ilvl w:val="0"/>
          <w:numId w:val="32"/>
        </w:numPr>
        <w:rPr>
          <w:lang w:val="en-GB"/>
        </w:rPr>
      </w:pPr>
      <w:r>
        <w:rPr>
          <w:lang w:val="en-GB"/>
        </w:rPr>
        <w:t>Measurements of inter-frequency NR cells</w:t>
      </w:r>
    </w:p>
    <w:p w14:paraId="6F27313E" w14:textId="50BD4347" w:rsidR="00C74FA2" w:rsidRPr="00C74FA2" w:rsidRDefault="00C74FA2" w:rsidP="00C74FA2">
      <w:pPr>
        <w:pStyle w:val="ListParagraph"/>
        <w:numPr>
          <w:ilvl w:val="0"/>
          <w:numId w:val="32"/>
        </w:numPr>
        <w:rPr>
          <w:lang w:val="en-GB"/>
        </w:rPr>
      </w:pPr>
      <w:r>
        <w:rPr>
          <w:lang w:val="en-GB"/>
        </w:rPr>
        <w:t>Measurements of inter-RAT E-UTRAN cells</w:t>
      </w:r>
    </w:p>
    <w:p w14:paraId="6D92AD8E" w14:textId="0F0391B8" w:rsidR="00C74FA2" w:rsidRPr="00C74FA2" w:rsidRDefault="00C74FA2" w:rsidP="00C74FA2">
      <w:pPr>
        <w:pStyle w:val="ListParagraph"/>
        <w:numPr>
          <w:ilvl w:val="0"/>
          <w:numId w:val="32"/>
        </w:numPr>
        <w:rPr>
          <w:lang w:val="en-GB"/>
        </w:rPr>
      </w:pPr>
      <w:r>
        <w:rPr>
          <w:lang w:val="en-GB"/>
        </w:rPr>
        <w:t>Maximum interruption of paging reception</w:t>
      </w:r>
    </w:p>
    <w:p w14:paraId="171C9ED8" w14:textId="3A61A016" w:rsidR="008026BB" w:rsidRDefault="00C35D7C" w:rsidP="00552147">
      <w:pPr>
        <w:rPr>
          <w:lang w:val="en-GB"/>
        </w:rPr>
      </w:pPr>
      <w:r>
        <w:rPr>
          <w:lang w:val="en-GB"/>
        </w:rPr>
        <w:t>However, a</w:t>
      </w:r>
      <w:r w:rsidR="00A13F2D">
        <w:rPr>
          <w:lang w:val="en-GB"/>
        </w:rPr>
        <w:t xml:space="preserve">s the </w:t>
      </w:r>
      <w:r w:rsidR="000168AB">
        <w:rPr>
          <w:lang w:val="en-GB"/>
        </w:rPr>
        <w:t>IAB-MT</w:t>
      </w:r>
      <w:r w:rsidR="00A13F2D">
        <w:rPr>
          <w:lang w:val="en-GB"/>
        </w:rPr>
        <w:t xml:space="preserve"> is normally not in the idle state, there is no need for </w:t>
      </w:r>
      <w:r w:rsidR="000A6F34">
        <w:rPr>
          <w:lang w:val="en-GB"/>
        </w:rPr>
        <w:t>defining idle mode requirements</w:t>
      </w:r>
    </w:p>
    <w:p w14:paraId="520715F1" w14:textId="20152521" w:rsidR="00A13F2D" w:rsidRPr="00A13F2D" w:rsidRDefault="00A13F2D" w:rsidP="00552147">
      <w:pPr>
        <w:rPr>
          <w:b/>
          <w:lang w:val="en-GB"/>
        </w:rPr>
      </w:pPr>
      <w:r w:rsidRPr="00A13F2D">
        <w:rPr>
          <w:b/>
          <w:lang w:val="en-GB"/>
        </w:rPr>
        <w:t xml:space="preserve">Proposal 2: </w:t>
      </w:r>
      <w:r w:rsidR="000A6F34">
        <w:rPr>
          <w:b/>
          <w:lang w:val="en-GB"/>
        </w:rPr>
        <w:t>Idle mode measurements and</w:t>
      </w:r>
      <w:r w:rsidRPr="00A13F2D">
        <w:rPr>
          <w:b/>
          <w:lang w:val="en-GB"/>
        </w:rPr>
        <w:t xml:space="preserve"> evaluation </w:t>
      </w:r>
      <w:r w:rsidR="000A6F34">
        <w:rPr>
          <w:b/>
          <w:lang w:val="en-GB"/>
        </w:rPr>
        <w:t xml:space="preserve">for </w:t>
      </w:r>
      <w:r w:rsidRPr="00A13F2D">
        <w:rPr>
          <w:b/>
          <w:lang w:val="en-GB"/>
        </w:rPr>
        <w:t xml:space="preserve">cell </w:t>
      </w:r>
      <w:r w:rsidR="000A6F34">
        <w:rPr>
          <w:b/>
          <w:lang w:val="en-GB"/>
        </w:rPr>
        <w:t xml:space="preserve">reselection </w:t>
      </w:r>
      <w:r w:rsidRPr="00A13F2D">
        <w:rPr>
          <w:b/>
          <w:lang w:val="en-GB"/>
        </w:rPr>
        <w:t>does not have to be specified for IAB-MT.</w:t>
      </w:r>
    </w:p>
    <w:p w14:paraId="7A526D79" w14:textId="196E74E7" w:rsidR="003901E8" w:rsidRPr="003901E8" w:rsidRDefault="003901E8" w:rsidP="00552147">
      <w:pPr>
        <w:rPr>
          <w:b/>
          <w:lang w:val="en-GB"/>
        </w:rPr>
      </w:pPr>
      <w:r w:rsidRPr="003901E8">
        <w:rPr>
          <w:b/>
          <w:lang w:val="en-GB"/>
        </w:rPr>
        <w:t xml:space="preserve">Proposal 3: Other requirements for idle </w:t>
      </w:r>
      <w:r w:rsidR="000168AB">
        <w:rPr>
          <w:b/>
          <w:lang w:val="en-GB"/>
        </w:rPr>
        <w:t>mode</w:t>
      </w:r>
      <w:r w:rsidRPr="003901E8">
        <w:rPr>
          <w:b/>
          <w:lang w:val="en-GB"/>
        </w:rPr>
        <w:t xml:space="preserve"> measurements or paging reception are not specified for IAB.</w:t>
      </w:r>
    </w:p>
    <w:p w14:paraId="0A569AEE" w14:textId="1ACEA0E0" w:rsidR="00EE23BC" w:rsidRDefault="00EE23BC" w:rsidP="00552147">
      <w:pPr>
        <w:rPr>
          <w:lang w:val="en-GB"/>
        </w:rPr>
      </w:pPr>
      <w:r>
        <w:rPr>
          <w:lang w:val="en-GB"/>
        </w:rPr>
        <w:t>The above apply also for RRC_INACTIVE which is not supported by IAB.</w:t>
      </w:r>
    </w:p>
    <w:p w14:paraId="600D7B2D" w14:textId="4E0C8AB7" w:rsidR="00CE2C3D" w:rsidRPr="003901E8" w:rsidRDefault="00CE2C3D" w:rsidP="00CE2C3D">
      <w:pPr>
        <w:rPr>
          <w:b/>
          <w:lang w:val="en-GB"/>
        </w:rPr>
      </w:pPr>
      <w:r w:rsidRPr="003901E8">
        <w:rPr>
          <w:b/>
          <w:lang w:val="en-GB"/>
        </w:rPr>
        <w:t xml:space="preserve">Proposal </w:t>
      </w:r>
      <w:r>
        <w:rPr>
          <w:b/>
          <w:lang w:val="en-GB"/>
        </w:rPr>
        <w:t>4</w:t>
      </w:r>
      <w:r w:rsidRPr="003901E8">
        <w:rPr>
          <w:b/>
          <w:lang w:val="en-GB"/>
        </w:rPr>
        <w:t xml:space="preserve">: </w:t>
      </w:r>
      <w:r>
        <w:rPr>
          <w:b/>
          <w:lang w:val="en-GB"/>
        </w:rPr>
        <w:t xml:space="preserve">No </w:t>
      </w:r>
      <w:r w:rsidRPr="003901E8">
        <w:rPr>
          <w:b/>
          <w:lang w:val="en-GB"/>
        </w:rPr>
        <w:t xml:space="preserve">requirements for </w:t>
      </w:r>
      <w:r>
        <w:rPr>
          <w:b/>
          <w:lang w:val="en-GB"/>
        </w:rPr>
        <w:t xml:space="preserve">RRC_INACTIVE as it is not supported in </w:t>
      </w:r>
      <w:r w:rsidRPr="003901E8">
        <w:rPr>
          <w:b/>
          <w:lang w:val="en-GB"/>
        </w:rPr>
        <w:t>IAB.</w:t>
      </w:r>
    </w:p>
    <w:p w14:paraId="7659932F" w14:textId="77777777" w:rsidR="00EE23BC" w:rsidRDefault="00EE23BC" w:rsidP="00552147">
      <w:pPr>
        <w:rPr>
          <w:lang w:val="en-GB"/>
        </w:rPr>
      </w:pPr>
    </w:p>
    <w:p w14:paraId="64A519A3" w14:textId="273D35F6" w:rsidR="008026BB" w:rsidRDefault="00EE23BC" w:rsidP="008026BB">
      <w:pPr>
        <w:pStyle w:val="RAN4H2"/>
        <w:rPr>
          <w:lang w:val="en-GB"/>
        </w:rPr>
      </w:pPr>
      <w:r>
        <w:rPr>
          <w:lang w:val="en-GB"/>
        </w:rPr>
        <w:t xml:space="preserve">Connected state </w:t>
      </w:r>
      <w:r w:rsidR="008026BB">
        <w:rPr>
          <w:lang w:val="en-GB"/>
        </w:rPr>
        <w:t>RRM measurements</w:t>
      </w:r>
      <w:r w:rsidR="00281E6C">
        <w:rPr>
          <w:lang w:val="en-GB"/>
        </w:rPr>
        <w:t xml:space="preserve"> and mobility</w:t>
      </w:r>
    </w:p>
    <w:p w14:paraId="02B2E7AD" w14:textId="1E37FE69" w:rsidR="00435CBC" w:rsidRDefault="00435CBC" w:rsidP="003901E8">
      <w:pPr>
        <w:rPr>
          <w:lang w:val="en-GB"/>
        </w:rPr>
      </w:pPr>
      <w:r>
        <w:rPr>
          <w:lang w:val="en-GB"/>
        </w:rPr>
        <w:t>In general, the possibility for connected state inter-IAB node measurements depend</w:t>
      </w:r>
      <w:r w:rsidR="00C16CF6">
        <w:rPr>
          <w:lang w:val="en-GB"/>
        </w:rPr>
        <w:t>s</w:t>
      </w:r>
      <w:r>
        <w:rPr>
          <w:lang w:val="en-GB"/>
        </w:rPr>
        <w:t xml:space="preserve"> on the IAB network deployment (topology), resource allocation using TDM, SDM and/or FDM, SSB TX configuration and SMTC configuration(s)</w:t>
      </w:r>
      <w:r w:rsidR="00DE22AD">
        <w:rPr>
          <w:lang w:val="en-GB"/>
        </w:rPr>
        <w:t xml:space="preserve"> with </w:t>
      </w:r>
      <w:r w:rsidR="00CA67CD">
        <w:rPr>
          <w:lang w:val="en-GB"/>
        </w:rPr>
        <w:t>configured RX/TX patterns for inter-IAB measurements</w:t>
      </w:r>
      <w:r>
        <w:rPr>
          <w:lang w:val="en-GB"/>
        </w:rPr>
        <w:t xml:space="preserve">, number of antenna panels, number of beams per panel, etc. </w:t>
      </w:r>
    </w:p>
    <w:p w14:paraId="38375D80" w14:textId="47350362" w:rsidR="00435CBC" w:rsidRPr="006961C5" w:rsidRDefault="006961C5" w:rsidP="003901E8">
      <w:pPr>
        <w:rPr>
          <w:b/>
          <w:lang w:val="en-GB"/>
        </w:rPr>
      </w:pPr>
      <w:r w:rsidRPr="006961C5">
        <w:rPr>
          <w:b/>
          <w:lang w:val="en-GB"/>
        </w:rPr>
        <w:lastRenderedPageBreak/>
        <w:t xml:space="preserve">Observation </w:t>
      </w:r>
      <w:r>
        <w:rPr>
          <w:b/>
          <w:lang w:val="en-GB"/>
        </w:rPr>
        <w:t>4</w:t>
      </w:r>
      <w:r w:rsidRPr="006961C5">
        <w:rPr>
          <w:b/>
          <w:lang w:val="en-GB"/>
        </w:rPr>
        <w:t>: There are multiple parameters, some of which IAB specific, affecting the IAB RRM measurements making it challenging to evaluate the performance.</w:t>
      </w:r>
    </w:p>
    <w:p w14:paraId="54F7D831" w14:textId="1D14DA8D" w:rsidR="00EE23BC" w:rsidRDefault="00B87E59" w:rsidP="003901E8">
      <w:pPr>
        <w:rPr>
          <w:lang w:val="en-GB"/>
        </w:rPr>
      </w:pPr>
      <w:r>
        <w:rPr>
          <w:lang w:val="en-GB"/>
        </w:rPr>
        <w:t xml:space="preserve">As baseline, Rel-16 IAB does not support mobile IABs. However, even though IAB mobility is not supported there may be changes in the deployment environment which may lead to </w:t>
      </w:r>
      <w:r w:rsidR="00037B5D">
        <w:rPr>
          <w:lang w:val="en-GB"/>
        </w:rPr>
        <w:t xml:space="preserve">the situation </w:t>
      </w:r>
      <w:r>
        <w:rPr>
          <w:lang w:val="en-GB"/>
        </w:rPr>
        <w:t xml:space="preserve">that the currently used BH link is </w:t>
      </w:r>
      <w:r w:rsidR="00751D0B">
        <w:rPr>
          <w:lang w:val="en-GB"/>
        </w:rPr>
        <w:t xml:space="preserve">no longer </w:t>
      </w:r>
      <w:r w:rsidR="007D0E01">
        <w:rPr>
          <w:lang w:val="en-GB"/>
        </w:rPr>
        <w:t xml:space="preserve">available or </w:t>
      </w:r>
      <w:r w:rsidR="00751D0B">
        <w:rPr>
          <w:lang w:val="en-GB"/>
        </w:rPr>
        <w:t xml:space="preserve">the </w:t>
      </w:r>
      <w:r w:rsidR="003B00D3">
        <w:rPr>
          <w:lang w:val="en-GB"/>
        </w:rPr>
        <w:t>optimal</w:t>
      </w:r>
      <w:r w:rsidR="00751D0B">
        <w:rPr>
          <w:lang w:val="en-GB"/>
        </w:rPr>
        <w:t xml:space="preserve"> BH link to be used. E.g. in case the BH connection between IAB1 and IAB2 is blocked, there would be need for action to recover or change the BH link. </w:t>
      </w:r>
      <w:r w:rsidR="00037B5D">
        <w:rPr>
          <w:lang w:val="en-GB"/>
        </w:rPr>
        <w:t xml:space="preserve">Another example is a BH link change </w:t>
      </w:r>
      <w:r w:rsidR="007D0E01">
        <w:rPr>
          <w:lang w:val="en-GB"/>
        </w:rPr>
        <w:t xml:space="preserve">due to load balancing where the connection is changed </w:t>
      </w:r>
      <w:r w:rsidR="00265AD2">
        <w:rPr>
          <w:lang w:val="en-GB"/>
        </w:rPr>
        <w:t xml:space="preserve">from very loaded parent node  </w:t>
      </w:r>
      <w:r w:rsidR="00037B5D">
        <w:rPr>
          <w:lang w:val="en-GB"/>
        </w:rPr>
        <w:t xml:space="preserve">to a node with unused capacity. </w:t>
      </w:r>
      <w:r w:rsidR="00751D0B">
        <w:rPr>
          <w:lang w:val="en-GB"/>
        </w:rPr>
        <w:t>Such</w:t>
      </w:r>
      <w:r w:rsidR="00EE23BC">
        <w:rPr>
          <w:lang w:val="en-GB"/>
        </w:rPr>
        <w:t xml:space="preserve"> IAB topology adaptation is using NR </w:t>
      </w:r>
      <w:r w:rsidR="00751D0B">
        <w:rPr>
          <w:lang w:val="en-GB"/>
        </w:rPr>
        <w:t xml:space="preserve">handover </w:t>
      </w:r>
      <w:r w:rsidR="00EE23BC">
        <w:rPr>
          <w:lang w:val="en-GB"/>
        </w:rPr>
        <w:t>procedures as the baseline. The UE requirements for handover include:</w:t>
      </w:r>
    </w:p>
    <w:p w14:paraId="7848A375" w14:textId="61031351" w:rsidR="00EE23BC" w:rsidRDefault="00EE23BC" w:rsidP="00EE23BC">
      <w:pPr>
        <w:pStyle w:val="ListParagraph"/>
        <w:numPr>
          <w:ilvl w:val="0"/>
          <w:numId w:val="33"/>
        </w:numPr>
        <w:rPr>
          <w:lang w:val="en-GB"/>
        </w:rPr>
      </w:pPr>
      <w:r>
        <w:rPr>
          <w:lang w:val="en-GB"/>
        </w:rPr>
        <w:t>Handover delay</w:t>
      </w:r>
    </w:p>
    <w:p w14:paraId="498037ED" w14:textId="613600E5" w:rsidR="00EE23BC" w:rsidRPr="00804EAF" w:rsidRDefault="00EE23BC" w:rsidP="00804EAF">
      <w:pPr>
        <w:pStyle w:val="ListParagraph"/>
        <w:numPr>
          <w:ilvl w:val="0"/>
          <w:numId w:val="33"/>
        </w:numPr>
        <w:rPr>
          <w:lang w:val="en-GB"/>
        </w:rPr>
      </w:pPr>
      <w:r>
        <w:rPr>
          <w:lang w:val="en-GB"/>
        </w:rPr>
        <w:t>Interruption time</w:t>
      </w:r>
    </w:p>
    <w:p w14:paraId="310F0B82" w14:textId="5ED097A9" w:rsidR="00804EAF" w:rsidRDefault="00804EAF" w:rsidP="003901E8">
      <w:pPr>
        <w:rPr>
          <w:lang w:val="en-GB"/>
        </w:rPr>
      </w:pPr>
      <w:r>
        <w:rPr>
          <w:lang w:val="en-GB"/>
        </w:rPr>
        <w:t xml:space="preserve">The handover delay </w:t>
      </w:r>
      <w:r w:rsidRPr="00804EAF">
        <w:rPr>
          <w:lang w:val="en-GB"/>
        </w:rPr>
        <w:t>D</w:t>
      </w:r>
      <w:r w:rsidRPr="00804EAF">
        <w:rPr>
          <w:vertAlign w:val="subscript"/>
          <w:lang w:val="en-GB"/>
        </w:rPr>
        <w:t>handover</w:t>
      </w:r>
      <w:r w:rsidRPr="00804EAF">
        <w:rPr>
          <w:lang w:val="en-GB"/>
        </w:rPr>
        <w:t xml:space="preserve"> </w:t>
      </w:r>
      <w:r w:rsidRPr="002E4B28">
        <w:rPr>
          <w:i/>
          <w:lang w:val="en-GB"/>
        </w:rPr>
        <w:t>equals the maximum RRC procedure delay to be defined in clause 12 in TS 38.331 plus the interruption</w:t>
      </w:r>
      <w:r>
        <w:rPr>
          <w:lang w:val="en-GB"/>
        </w:rPr>
        <w:t xml:space="preserve">. </w:t>
      </w:r>
    </w:p>
    <w:p w14:paraId="03571C9E" w14:textId="493A5A71" w:rsidR="002E4B28" w:rsidRDefault="002E4B28" w:rsidP="003901E8">
      <w:pPr>
        <w:rPr>
          <w:lang w:val="en-GB"/>
        </w:rPr>
      </w:pPr>
      <w:r>
        <w:rPr>
          <w:lang w:val="en-GB"/>
        </w:rPr>
        <w:t xml:space="preserve">The delay </w:t>
      </w:r>
      <w:r w:rsidRPr="003B00D3">
        <w:rPr>
          <w:lang w:val="en-GB"/>
        </w:rPr>
        <w:t xml:space="preserve">from the </w:t>
      </w:r>
      <w:r w:rsidRPr="00533F9E">
        <w:rPr>
          <w:lang w:val="en-GB"/>
        </w:rPr>
        <w:t xml:space="preserve">RRC procedure </w:t>
      </w:r>
      <w:r w:rsidR="00745826" w:rsidRPr="003B00D3">
        <w:rPr>
          <w:lang w:val="en-GB"/>
        </w:rPr>
        <w:t>is specified</w:t>
      </w:r>
      <w:r w:rsidR="00745826">
        <w:rPr>
          <w:lang w:val="en-GB"/>
        </w:rPr>
        <w:t xml:space="preserve"> in 38.331</w:t>
      </w:r>
      <w:r w:rsidR="0012454D">
        <w:rPr>
          <w:lang w:val="en-GB"/>
        </w:rPr>
        <w:t>. The rest of the delay depend on the interruption time, see below.</w:t>
      </w:r>
    </w:p>
    <w:p w14:paraId="7F25864E" w14:textId="77777777" w:rsidR="000E76FD" w:rsidRDefault="000E76FD" w:rsidP="000E76FD">
      <w:pPr>
        <w:rPr>
          <w:lang w:val="en-GB"/>
        </w:rPr>
      </w:pPr>
      <w:r w:rsidRPr="004A6EF8">
        <w:rPr>
          <w:b/>
          <w:lang w:val="en-GB"/>
        </w:rPr>
        <w:t xml:space="preserve">Proposal 5: The need for IAB-MT handover delay </w:t>
      </w:r>
      <w:r>
        <w:rPr>
          <w:b/>
          <w:lang w:val="en-GB"/>
        </w:rPr>
        <w:t xml:space="preserve">requirement </w:t>
      </w:r>
      <w:r w:rsidRPr="004A6EF8">
        <w:rPr>
          <w:b/>
          <w:lang w:val="en-GB"/>
        </w:rPr>
        <w:t>is FFS and depend on the selected procedure(s).</w:t>
      </w:r>
    </w:p>
    <w:p w14:paraId="44DF3CC7" w14:textId="535E7B95" w:rsidR="004A6EF8" w:rsidRDefault="009542A0" w:rsidP="003901E8">
      <w:pPr>
        <w:rPr>
          <w:lang w:val="en-GB"/>
        </w:rPr>
      </w:pPr>
      <w:bookmarkStart w:id="4" w:name="_GoBack"/>
      <w:bookmarkEnd w:id="4"/>
      <w:r>
        <w:rPr>
          <w:lang w:val="en-GB"/>
        </w:rPr>
        <w:t>The definition of the NR HO interruption time</w:t>
      </w:r>
      <w:r w:rsidR="008E42FE">
        <w:rPr>
          <w:lang w:val="en-GB"/>
        </w:rPr>
        <w:t xml:space="preserve"> is</w:t>
      </w:r>
      <w:r>
        <w:rPr>
          <w:lang w:val="en-GB"/>
        </w:rPr>
        <w:t xml:space="preserve">, </w:t>
      </w:r>
      <w:r>
        <w:rPr>
          <w:lang w:val="en-GB"/>
        </w:rPr>
        <w:fldChar w:fldCharType="begin"/>
      </w:r>
      <w:r>
        <w:rPr>
          <w:lang w:val="en-GB"/>
        </w:rPr>
        <w:instrText xml:space="preserve"> REF _Ref20751466 \r \h </w:instrText>
      </w:r>
      <w:r>
        <w:rPr>
          <w:lang w:val="en-GB"/>
        </w:rPr>
      </w:r>
      <w:r>
        <w:rPr>
          <w:lang w:val="en-GB"/>
        </w:rPr>
        <w:fldChar w:fldCharType="separate"/>
      </w:r>
      <w:r>
        <w:rPr>
          <w:lang w:val="en-GB"/>
        </w:rPr>
        <w:t>[2]</w:t>
      </w:r>
      <w:r>
        <w:rPr>
          <w:lang w:val="en-GB"/>
        </w:rPr>
        <w:fldChar w:fldCharType="end"/>
      </w:r>
      <w:r>
        <w:rPr>
          <w:lang w:val="en-GB"/>
        </w:rPr>
        <w:t>:</w:t>
      </w:r>
    </w:p>
    <w:p w14:paraId="25200A9B" w14:textId="41FC67A2" w:rsidR="009542A0" w:rsidRDefault="009542A0" w:rsidP="0025228B">
      <w:pPr>
        <w:spacing w:after="60"/>
        <w:ind w:left="720"/>
        <w:rPr>
          <w:lang w:val="en-GB"/>
        </w:rP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44ED93FE" w14:textId="0FD68BC6" w:rsidR="009542A0" w:rsidRDefault="009542A0" w:rsidP="003901E8">
      <w:pPr>
        <w:rPr>
          <w:lang w:val="en-GB"/>
        </w:rPr>
      </w:pPr>
      <w:r>
        <w:rPr>
          <w:lang w:val="en-GB"/>
        </w:rPr>
        <w:t xml:space="preserve">where: </w:t>
      </w:r>
    </w:p>
    <w:p w14:paraId="34BCDF15" w14:textId="6FCEEB95" w:rsidR="009542A0" w:rsidRPr="009542A0" w:rsidRDefault="009542A0" w:rsidP="009542A0">
      <w:pPr>
        <w:pStyle w:val="ListParagraph"/>
        <w:numPr>
          <w:ilvl w:val="0"/>
          <w:numId w:val="34"/>
        </w:numPr>
        <w:rPr>
          <w:lang w:val="en-GB"/>
        </w:rPr>
      </w:pPr>
      <w:r>
        <w:t>T</w:t>
      </w:r>
      <w:r>
        <w:rPr>
          <w:vertAlign w:val="subscript"/>
        </w:rPr>
        <w:t>search</w:t>
      </w:r>
      <w:r>
        <w:t xml:space="preserve"> </w:t>
      </w:r>
      <w:r w:rsidRPr="0055270B">
        <w:rPr>
          <w:i/>
        </w:rPr>
        <w:t>is the time required to search the target cell when the handover command is received</w:t>
      </w:r>
    </w:p>
    <w:p w14:paraId="4345424A" w14:textId="3B4A731A" w:rsidR="009542A0" w:rsidRPr="009542A0" w:rsidRDefault="009542A0" w:rsidP="009542A0">
      <w:pPr>
        <w:pStyle w:val="ListParagraph"/>
        <w:numPr>
          <w:ilvl w:val="0"/>
          <w:numId w:val="34"/>
        </w:numPr>
        <w:rPr>
          <w:lang w:val="en-GB"/>
        </w:rPr>
      </w:pPr>
      <w:r>
        <w:t>T</w:t>
      </w:r>
      <w:r>
        <w:rPr>
          <w:vertAlign w:val="subscript"/>
        </w:rPr>
        <w:t>IU</w:t>
      </w:r>
      <w:r>
        <w:t xml:space="preserve"> </w:t>
      </w:r>
      <w:r w:rsidR="0055270B" w:rsidRPr="0055270B">
        <w:rPr>
          <w:i/>
        </w:rPr>
        <w:t>is the interruption uncertainty in acquiring the first available PRACH occasion</w:t>
      </w:r>
    </w:p>
    <w:p w14:paraId="21ECDFBE" w14:textId="25470FEF" w:rsidR="009542A0" w:rsidRDefault="009542A0" w:rsidP="009542A0">
      <w:pPr>
        <w:pStyle w:val="ListParagraph"/>
        <w:numPr>
          <w:ilvl w:val="0"/>
          <w:numId w:val="34"/>
        </w:numPr>
        <w:rPr>
          <w:lang w:val="en-GB"/>
        </w:rPr>
      </w:pPr>
      <w:r w:rsidRPr="009542A0">
        <w:rPr>
          <w:lang w:val="en-GB"/>
        </w:rPr>
        <w:t>T</w:t>
      </w:r>
      <w:r w:rsidRPr="009542A0">
        <w:rPr>
          <w:vertAlign w:val="subscript"/>
          <w:lang w:val="en-GB"/>
        </w:rPr>
        <w:t>processing</w:t>
      </w:r>
      <w:r>
        <w:rPr>
          <w:lang w:val="en-GB"/>
        </w:rPr>
        <w:t xml:space="preserve"> </w:t>
      </w:r>
      <w:r w:rsidR="0055270B" w:rsidRPr="00B348E9">
        <w:rPr>
          <w:i/>
          <w:lang w:val="en-GB"/>
        </w:rPr>
        <w:t>is the time for UE processing</w:t>
      </w:r>
      <w:r w:rsidR="0055270B">
        <w:rPr>
          <w:lang w:val="en-GB"/>
        </w:rPr>
        <w:t xml:space="preserve"> </w:t>
      </w:r>
    </w:p>
    <w:p w14:paraId="6E86C446" w14:textId="77777777" w:rsidR="00FB47F6" w:rsidRPr="00FB47F6" w:rsidRDefault="009542A0" w:rsidP="009542A0">
      <w:pPr>
        <w:pStyle w:val="ListParagraph"/>
        <w:numPr>
          <w:ilvl w:val="0"/>
          <w:numId w:val="34"/>
        </w:numPr>
        <w:rPr>
          <w:i/>
          <w:lang w:val="en-GB"/>
        </w:rPr>
      </w:pPr>
      <w:bookmarkStart w:id="5" w:name="_Hlk20808568"/>
      <w:r>
        <w:rPr>
          <w:lang w:eastAsia="zh-CN"/>
        </w:rPr>
        <w:t>T</w:t>
      </w:r>
      <w:r>
        <w:rPr>
          <w:vertAlign w:val="subscript"/>
          <w:lang w:eastAsia="zh-CN"/>
        </w:rPr>
        <w:t>∆</w:t>
      </w:r>
      <w:r>
        <w:rPr>
          <w:lang w:eastAsia="zh-CN"/>
        </w:rPr>
        <w:t xml:space="preserve"> </w:t>
      </w:r>
      <w:bookmarkEnd w:id="5"/>
      <w:r w:rsidR="00FB47F6" w:rsidRPr="00FB47F6">
        <w:rPr>
          <w:i/>
          <w:lang w:eastAsia="zh-CN"/>
        </w:rPr>
        <w:t>is time for fine time tracking and acquiring full timing information of the target cell.</w:t>
      </w:r>
    </w:p>
    <w:p w14:paraId="298776C5" w14:textId="6158FBF3" w:rsidR="005456C9" w:rsidRDefault="00B348E9" w:rsidP="003901E8">
      <w:pPr>
        <w:rPr>
          <w:lang w:val="en-GB"/>
        </w:rPr>
      </w:pPr>
      <w:r>
        <w:rPr>
          <w:lang w:val="en-GB"/>
        </w:rPr>
        <w:t xml:space="preserve">Considering the inter-IAB discovery and measurements, we </w:t>
      </w:r>
      <w:r w:rsidR="005456C9">
        <w:rPr>
          <w:lang w:val="en-GB"/>
        </w:rPr>
        <w:t xml:space="preserve">may </w:t>
      </w:r>
      <w:r>
        <w:rPr>
          <w:lang w:val="en-GB"/>
        </w:rPr>
        <w:t xml:space="preserve">assume that the candidate nodes are already known at the time when HO command for topology adaptation is received. </w:t>
      </w:r>
      <w:r w:rsidR="005456C9">
        <w:rPr>
          <w:lang w:val="en-GB"/>
        </w:rPr>
        <w:t xml:space="preserve">As the Handovers are needed </w:t>
      </w:r>
      <w:r w:rsidR="00745826">
        <w:rPr>
          <w:lang w:val="en-GB"/>
        </w:rPr>
        <w:t xml:space="preserve">to enable </w:t>
      </w:r>
      <w:r w:rsidR="005456C9">
        <w:rPr>
          <w:lang w:val="en-GB"/>
        </w:rPr>
        <w:t xml:space="preserve">topology </w:t>
      </w:r>
      <w:r w:rsidR="00745826">
        <w:rPr>
          <w:lang w:val="en-GB"/>
        </w:rPr>
        <w:t>adaptation and it can be assumed that such adaptation is not frequent, there seem not to be justification for defining strict RRM cell detection and measurement latency requirements in Rel-16 IAB.</w:t>
      </w:r>
    </w:p>
    <w:p w14:paraId="210CCE94" w14:textId="6C07A699" w:rsidR="003B68BF" w:rsidRDefault="003B68BF">
      <w:pPr>
        <w:rPr>
          <w:lang w:val="en-GB"/>
        </w:rPr>
      </w:pPr>
      <w:r w:rsidRPr="003B68BF">
        <w:rPr>
          <w:b/>
          <w:lang w:val="en-GB"/>
        </w:rPr>
        <w:t xml:space="preserve">Proposal </w:t>
      </w:r>
      <w:r>
        <w:rPr>
          <w:b/>
          <w:lang w:val="en-GB"/>
        </w:rPr>
        <w:t>6</w:t>
      </w:r>
      <w:r w:rsidRPr="003B68BF">
        <w:rPr>
          <w:b/>
          <w:lang w:val="en-GB"/>
        </w:rPr>
        <w:t xml:space="preserve">: </w:t>
      </w:r>
      <w:r w:rsidRPr="00533F9E">
        <w:rPr>
          <w:b/>
          <w:lang w:val="en-GB"/>
        </w:rPr>
        <w:t>No need for strict RRM measurement requirements in IAB Rel-16.</w:t>
      </w:r>
    </w:p>
    <w:p w14:paraId="3ABB7733" w14:textId="79252517" w:rsidR="00745826" w:rsidRDefault="00745826" w:rsidP="00745826">
      <w:pPr>
        <w:rPr>
          <w:lang w:val="en-GB"/>
        </w:rPr>
      </w:pPr>
      <w:r>
        <w:rPr>
          <w:lang w:val="en-GB"/>
        </w:rPr>
        <w:t>However, as there is need for topology adaptation, the IAB DU would need input from the IAB MT’s to enable handover when needed. But as the Rel-16 IAB assumes stationary IAB’s, the MT measurements and reporting latency does not seem to be time critical but can be done on best effort manner in Rel-16. Once, based on MT measurement, a measurement report is sent to the donor IAB, the donor IAB can request HO from the MT.</w:t>
      </w:r>
    </w:p>
    <w:p w14:paraId="33CB2D17" w14:textId="09DB452C" w:rsidR="003B68BF" w:rsidRDefault="003B68BF" w:rsidP="00533F9E">
      <w:pPr>
        <w:pStyle w:val="RAN4proposal"/>
        <w:numPr>
          <w:ilvl w:val="0"/>
          <w:numId w:val="0"/>
        </w:numPr>
        <w:rPr>
          <w:lang w:val="en-GB"/>
        </w:rPr>
      </w:pPr>
      <w:r w:rsidRPr="00E83DE2">
        <w:rPr>
          <w:lang w:val="en-GB"/>
        </w:rPr>
        <w:t xml:space="preserve">Proposal </w:t>
      </w:r>
      <w:r>
        <w:rPr>
          <w:lang w:val="en-GB"/>
        </w:rPr>
        <w:t>7</w:t>
      </w:r>
      <w:r w:rsidRPr="00E83DE2">
        <w:rPr>
          <w:lang w:val="en-GB"/>
        </w:rPr>
        <w:t xml:space="preserve">: </w:t>
      </w:r>
      <w:r>
        <w:rPr>
          <w:lang w:val="en-GB"/>
        </w:rPr>
        <w:t>Any RRM measurements for IAB RRM can be based on best effort in Rel-16</w:t>
      </w:r>
      <w:r w:rsidRPr="00E83DE2">
        <w:rPr>
          <w:lang w:val="en-GB"/>
        </w:rPr>
        <w:t>.</w:t>
      </w:r>
    </w:p>
    <w:p w14:paraId="3EAE9C70" w14:textId="5917660C" w:rsidR="009542A0" w:rsidRDefault="00745826" w:rsidP="003901E8">
      <w:pPr>
        <w:rPr>
          <w:lang w:eastAsia="zh-CN"/>
        </w:rPr>
      </w:pPr>
      <w:r>
        <w:rPr>
          <w:lang w:val="en-GB"/>
        </w:rPr>
        <w:t>Likely</w:t>
      </w:r>
      <w:r w:rsidR="00B348E9">
        <w:rPr>
          <w:lang w:val="en-GB"/>
        </w:rPr>
        <w:t xml:space="preserve">, </w:t>
      </w:r>
      <w:r w:rsidR="00B348E9">
        <w:t>T</w:t>
      </w:r>
      <w:r w:rsidR="00B348E9">
        <w:rPr>
          <w:vertAlign w:val="subscript"/>
        </w:rPr>
        <w:t>search</w:t>
      </w:r>
      <w:r w:rsidR="00B348E9" w:rsidRPr="00B348E9">
        <w:t xml:space="preserve"> </w:t>
      </w:r>
      <w:r w:rsidR="00B348E9">
        <w:t>will be zero</w:t>
      </w:r>
      <w:r>
        <w:t>, but current conditions could also apply</w:t>
      </w:r>
      <w:r w:rsidR="00B348E9">
        <w:t>. Assuming normal access starting with RACH to the target node, T</w:t>
      </w:r>
      <w:r w:rsidR="00B348E9" w:rsidRPr="00B348E9">
        <w:rPr>
          <w:vertAlign w:val="subscript"/>
        </w:rPr>
        <w:t>IU</w:t>
      </w:r>
      <w:r w:rsidR="00B348E9">
        <w:t xml:space="preserve"> will depend on the configured PRACH occasions in the target cell. </w:t>
      </w:r>
      <w:r w:rsidR="00B348E9" w:rsidRPr="009542A0">
        <w:rPr>
          <w:lang w:val="en-GB"/>
        </w:rPr>
        <w:t>T</w:t>
      </w:r>
      <w:r w:rsidR="00B348E9" w:rsidRPr="009542A0">
        <w:rPr>
          <w:vertAlign w:val="subscript"/>
          <w:lang w:val="en-GB"/>
        </w:rPr>
        <w:t>processing</w:t>
      </w:r>
      <w:r w:rsidR="00B348E9">
        <w:rPr>
          <w:lang w:val="en-GB"/>
        </w:rPr>
        <w:t xml:space="preserve"> will be IAB </w:t>
      </w:r>
      <w:r w:rsidR="007C526F">
        <w:rPr>
          <w:lang w:val="en-GB"/>
        </w:rPr>
        <w:t xml:space="preserve">MT </w:t>
      </w:r>
      <w:r w:rsidR="00B348E9">
        <w:rPr>
          <w:lang w:val="en-GB"/>
        </w:rPr>
        <w:t xml:space="preserve">specific </w:t>
      </w:r>
      <w:r w:rsidR="007C526F">
        <w:rPr>
          <w:lang w:val="en-GB"/>
        </w:rPr>
        <w:t xml:space="preserve">possibly </w:t>
      </w:r>
      <w:r w:rsidR="00B348E9">
        <w:rPr>
          <w:lang w:val="en-GB"/>
        </w:rPr>
        <w:t xml:space="preserve">deviating the values specified for the UE and </w:t>
      </w:r>
      <w:r w:rsidR="007C526F">
        <w:rPr>
          <w:lang w:val="en-GB"/>
        </w:rPr>
        <w:t xml:space="preserve">should </w:t>
      </w:r>
      <w:r w:rsidR="00B348E9">
        <w:rPr>
          <w:lang w:val="en-GB"/>
        </w:rPr>
        <w:t xml:space="preserve">therefore </w:t>
      </w:r>
      <w:r w:rsidR="007C526F">
        <w:rPr>
          <w:lang w:val="en-GB"/>
        </w:rPr>
        <w:t>be discussed further</w:t>
      </w:r>
      <w:r w:rsidR="00B348E9">
        <w:rPr>
          <w:lang w:val="en-GB"/>
        </w:rPr>
        <w:t>.</w:t>
      </w:r>
      <w:r w:rsidR="00FB47F6">
        <w:rPr>
          <w:lang w:val="en-GB"/>
        </w:rPr>
        <w:t xml:space="preserve"> Similar to T</w:t>
      </w:r>
      <w:r w:rsidR="00FB47F6" w:rsidRPr="00FB47F6">
        <w:rPr>
          <w:vertAlign w:val="subscript"/>
          <w:lang w:val="en-GB"/>
        </w:rPr>
        <w:t>search</w:t>
      </w:r>
      <w:r w:rsidR="00FB47F6">
        <w:rPr>
          <w:lang w:val="en-GB"/>
        </w:rPr>
        <w:t xml:space="preserve">, the fine time tracking </w:t>
      </w:r>
      <w:r w:rsidR="007C526F">
        <w:rPr>
          <w:lang w:val="en-GB"/>
        </w:rPr>
        <w:t>could potentially be reduced as the AIB’s are assumed stationary in Rel-16</w:t>
      </w:r>
      <w:r w:rsidR="00FB47F6">
        <w:rPr>
          <w:lang w:val="en-GB"/>
        </w:rPr>
        <w:t xml:space="preserve">. Therefore, </w:t>
      </w:r>
      <w:r w:rsidR="00FB47F6">
        <w:rPr>
          <w:lang w:eastAsia="zh-CN"/>
        </w:rPr>
        <w:t>T</w:t>
      </w:r>
      <w:r w:rsidR="00FB47F6">
        <w:rPr>
          <w:vertAlign w:val="subscript"/>
          <w:lang w:eastAsia="zh-CN"/>
        </w:rPr>
        <w:t>∆</w:t>
      </w:r>
      <w:r w:rsidR="00FB47F6">
        <w:rPr>
          <w:lang w:eastAsia="zh-CN"/>
        </w:rPr>
        <w:t xml:space="preserve"> could be assumed to be zero.</w:t>
      </w:r>
    </w:p>
    <w:p w14:paraId="0A600BFD" w14:textId="55620982" w:rsidR="0039187E" w:rsidRPr="0039187E" w:rsidRDefault="0039187E" w:rsidP="003901E8">
      <w:pPr>
        <w:rPr>
          <w:b/>
          <w:lang w:eastAsia="zh-CN"/>
        </w:rPr>
      </w:pPr>
      <w:r w:rsidRPr="0039187E">
        <w:rPr>
          <w:b/>
          <w:lang w:eastAsia="zh-CN"/>
        </w:rPr>
        <w:t xml:space="preserve">Observation </w:t>
      </w:r>
      <w:r w:rsidR="006961C5">
        <w:rPr>
          <w:b/>
          <w:lang w:eastAsia="zh-CN"/>
        </w:rPr>
        <w:t>5</w:t>
      </w:r>
      <w:r w:rsidRPr="0039187E">
        <w:rPr>
          <w:b/>
          <w:lang w:eastAsia="zh-CN"/>
        </w:rPr>
        <w:t xml:space="preserve">: The HO interruption time could be analyzed the same way as that of the UE but the IAB specific values </w:t>
      </w:r>
      <w:r w:rsidR="0025228B">
        <w:rPr>
          <w:b/>
          <w:lang w:eastAsia="zh-CN"/>
        </w:rPr>
        <w:t xml:space="preserve">would be </w:t>
      </w:r>
      <w:r w:rsidRPr="0039187E">
        <w:rPr>
          <w:b/>
          <w:lang w:eastAsia="zh-CN"/>
        </w:rPr>
        <w:t>FFS.</w:t>
      </w:r>
    </w:p>
    <w:p w14:paraId="1787C8EA" w14:textId="6EF742DD" w:rsidR="0039187E" w:rsidRDefault="0039187E" w:rsidP="003901E8">
      <w:pPr>
        <w:rPr>
          <w:lang w:val="en-GB"/>
        </w:rPr>
      </w:pPr>
      <w:r>
        <w:rPr>
          <w:lang w:val="en-GB"/>
        </w:rPr>
        <w:t xml:space="preserve">It should be noted that IAB may utilize mobility </w:t>
      </w:r>
      <w:r w:rsidR="00F604FA">
        <w:rPr>
          <w:lang w:val="en-GB"/>
        </w:rPr>
        <w:t xml:space="preserve">procedure and possible enhancements </w:t>
      </w:r>
      <w:r>
        <w:rPr>
          <w:lang w:val="en-GB"/>
        </w:rPr>
        <w:t xml:space="preserve">that will be specified for Rel.16 and/or releases beyond. Such enhancements may cover: Conditional HO (CHO), RACH-less HO, make-before-break, etc. which all can decrease the interruption </w:t>
      </w:r>
      <w:r w:rsidR="00435CBC">
        <w:rPr>
          <w:lang w:val="en-GB"/>
        </w:rPr>
        <w:t xml:space="preserve">time </w:t>
      </w:r>
      <w:r>
        <w:rPr>
          <w:lang w:val="en-GB"/>
        </w:rPr>
        <w:t xml:space="preserve">when changing the BH connection from a parent node to another using mobility procedures. </w:t>
      </w:r>
      <w:r w:rsidR="00435CBC">
        <w:rPr>
          <w:lang w:val="en-GB"/>
        </w:rPr>
        <w:t xml:space="preserve">Such enhancements are implementation options and requirements based on such advanced methods </w:t>
      </w:r>
      <w:r w:rsidR="00F604FA">
        <w:rPr>
          <w:lang w:val="en-GB"/>
        </w:rPr>
        <w:t>should be discussed once agreed</w:t>
      </w:r>
      <w:r w:rsidR="00435CBC">
        <w:rPr>
          <w:lang w:val="en-GB"/>
        </w:rPr>
        <w:t xml:space="preserve">. </w:t>
      </w:r>
    </w:p>
    <w:p w14:paraId="12E6A16E" w14:textId="0371A85C" w:rsidR="00435CBC" w:rsidRPr="00435CBC" w:rsidRDefault="00435CBC" w:rsidP="003901E8">
      <w:pPr>
        <w:rPr>
          <w:b/>
          <w:lang w:val="en-GB"/>
        </w:rPr>
      </w:pPr>
      <w:r w:rsidRPr="00435CBC">
        <w:rPr>
          <w:b/>
          <w:lang w:val="en-GB"/>
        </w:rPr>
        <w:t xml:space="preserve">Observation </w:t>
      </w:r>
      <w:r w:rsidR="006961C5">
        <w:rPr>
          <w:b/>
          <w:lang w:val="en-GB"/>
        </w:rPr>
        <w:t>6</w:t>
      </w:r>
      <w:r w:rsidRPr="00435CBC">
        <w:rPr>
          <w:b/>
          <w:lang w:val="en-GB"/>
        </w:rPr>
        <w:t>: Mobility enhancements specified for Rel.16 or in future releases can well be applicable for IAB operation improving the HO performance by e.g. decreasing the interruption time.</w:t>
      </w:r>
    </w:p>
    <w:p w14:paraId="732B7143" w14:textId="1B26C01A" w:rsidR="008026BB" w:rsidRPr="00281E6C" w:rsidRDefault="00435CBC" w:rsidP="00552147">
      <w:pPr>
        <w:rPr>
          <w:b/>
          <w:lang w:val="en-GB"/>
        </w:rPr>
      </w:pPr>
      <w:r>
        <w:rPr>
          <w:b/>
          <w:lang w:val="en-GB"/>
        </w:rPr>
        <w:lastRenderedPageBreak/>
        <w:t>Proposal</w:t>
      </w:r>
      <w:r w:rsidRPr="00435CBC">
        <w:rPr>
          <w:b/>
          <w:lang w:val="en-GB"/>
        </w:rPr>
        <w:t xml:space="preserve"> </w:t>
      </w:r>
      <w:r w:rsidR="003B68BF">
        <w:rPr>
          <w:b/>
          <w:lang w:val="en-GB"/>
        </w:rPr>
        <w:t>8</w:t>
      </w:r>
      <w:r w:rsidRPr="00435CBC">
        <w:rPr>
          <w:b/>
          <w:lang w:val="en-GB"/>
        </w:rPr>
        <w:t xml:space="preserve">: </w:t>
      </w:r>
      <w:r w:rsidR="00745E75">
        <w:rPr>
          <w:b/>
          <w:lang w:val="en-GB"/>
        </w:rPr>
        <w:t xml:space="preserve">RAN4 </w:t>
      </w:r>
      <w:r w:rsidR="00F604FA">
        <w:rPr>
          <w:b/>
          <w:lang w:val="en-GB"/>
        </w:rPr>
        <w:t>should discuss</w:t>
      </w:r>
      <w:r w:rsidR="00D578C0">
        <w:rPr>
          <w:b/>
          <w:lang w:val="en-GB"/>
        </w:rPr>
        <w:t xml:space="preserve"> if and</w:t>
      </w:r>
      <w:r w:rsidR="00F604FA">
        <w:rPr>
          <w:b/>
          <w:lang w:val="en-GB"/>
        </w:rPr>
        <w:t xml:space="preserve"> </w:t>
      </w:r>
      <w:r w:rsidR="00936A5F">
        <w:rPr>
          <w:b/>
          <w:lang w:val="en-GB"/>
        </w:rPr>
        <w:t>how</w:t>
      </w:r>
      <w:r>
        <w:rPr>
          <w:b/>
          <w:lang w:val="en-GB"/>
        </w:rPr>
        <w:t xml:space="preserve"> </w:t>
      </w:r>
      <w:r w:rsidR="00745E75">
        <w:rPr>
          <w:b/>
          <w:lang w:val="en-GB"/>
        </w:rPr>
        <w:t>requirements for IAB topology adaptation using mobility procedures c</w:t>
      </w:r>
      <w:r w:rsidR="00D578C0">
        <w:rPr>
          <w:b/>
          <w:lang w:val="en-GB"/>
        </w:rPr>
        <w:t>ould</w:t>
      </w:r>
      <w:r w:rsidR="00745E75">
        <w:rPr>
          <w:b/>
          <w:lang w:val="en-GB"/>
        </w:rPr>
        <w:t xml:space="preserve"> be specified. </w:t>
      </w:r>
    </w:p>
    <w:p w14:paraId="0349602F" w14:textId="20406018" w:rsidR="00435CBC" w:rsidRDefault="00435CBC" w:rsidP="00552147">
      <w:pPr>
        <w:rPr>
          <w:lang w:val="en-GB"/>
        </w:rPr>
      </w:pPr>
    </w:p>
    <w:p w14:paraId="56233B48" w14:textId="51677E3C" w:rsidR="0025228B" w:rsidRDefault="0025228B" w:rsidP="0025228B">
      <w:pPr>
        <w:pStyle w:val="RAN4H2"/>
        <w:rPr>
          <w:lang w:val="en-GB"/>
        </w:rPr>
      </w:pPr>
      <w:r>
        <w:rPr>
          <w:lang w:val="en-GB"/>
        </w:rPr>
        <w:t>RRC re-establishment</w:t>
      </w:r>
    </w:p>
    <w:p w14:paraId="306BB473" w14:textId="00B65FF9" w:rsidR="0025228B" w:rsidRPr="007D0416" w:rsidRDefault="0025228B" w:rsidP="0025228B">
      <w:pPr>
        <w:rPr>
          <w:i/>
          <w:lang w:eastAsia="ko-KR"/>
        </w:rPr>
      </w:pPr>
      <w:r>
        <w:rPr>
          <w:lang w:val="en-GB"/>
        </w:rPr>
        <w:t xml:space="preserve">In </w:t>
      </w:r>
      <w:r>
        <w:rPr>
          <w:lang w:val="en-GB"/>
        </w:rPr>
        <w:fldChar w:fldCharType="begin"/>
      </w:r>
      <w:r>
        <w:rPr>
          <w:lang w:val="en-GB"/>
        </w:rPr>
        <w:instrText xml:space="preserve"> REF _Ref20751466 \r \h </w:instrText>
      </w:r>
      <w:r>
        <w:rPr>
          <w:lang w:val="en-GB"/>
        </w:rPr>
      </w:r>
      <w:r>
        <w:rPr>
          <w:lang w:val="en-GB"/>
        </w:rPr>
        <w:fldChar w:fldCharType="separate"/>
      </w:r>
      <w:r>
        <w:rPr>
          <w:lang w:val="en-GB"/>
        </w:rPr>
        <w:t>[2]</w:t>
      </w:r>
      <w:r>
        <w:rPr>
          <w:lang w:val="en-GB"/>
        </w:rPr>
        <w:fldChar w:fldCharType="end"/>
      </w:r>
      <w:r>
        <w:rPr>
          <w:lang w:val="en-GB"/>
        </w:rPr>
        <w:t xml:space="preserve"> </w:t>
      </w:r>
      <w:r>
        <w:rPr>
          <w:lang w:eastAsia="ko-KR"/>
        </w:rPr>
        <w:t xml:space="preserve">the </w:t>
      </w:r>
      <w:r w:rsidR="007D0416">
        <w:rPr>
          <w:lang w:eastAsia="ko-KR"/>
        </w:rPr>
        <w:t xml:space="preserve">re-establish delay for the </w:t>
      </w:r>
      <w:r>
        <w:rPr>
          <w:lang w:eastAsia="ko-KR"/>
        </w:rPr>
        <w:t xml:space="preserve">UE </w:t>
      </w:r>
      <w:r w:rsidR="007D0416">
        <w:rPr>
          <w:lang w:eastAsia="ko-KR"/>
        </w:rPr>
        <w:t xml:space="preserve">was defined as the </w:t>
      </w:r>
      <w:r>
        <w:rPr>
          <w:lang w:eastAsia="ko-KR"/>
        </w:rPr>
        <w:t>capab</w:t>
      </w:r>
      <w:r w:rsidR="007D0416">
        <w:rPr>
          <w:lang w:eastAsia="ko-KR"/>
        </w:rPr>
        <w:t>ility</w:t>
      </w:r>
      <w:r>
        <w:rPr>
          <w:lang w:eastAsia="ko-KR"/>
        </w:rPr>
        <w:t xml:space="preserve"> of </w:t>
      </w:r>
      <w:r w:rsidRPr="007D0416">
        <w:rPr>
          <w:i/>
          <w:lang w:eastAsia="ko-KR"/>
        </w:rPr>
        <w:t>sending RRCReestablishmentRequest message within T</w:t>
      </w:r>
      <w:r w:rsidRPr="007D0416">
        <w:rPr>
          <w:i/>
          <w:vertAlign w:val="subscript"/>
          <w:lang w:eastAsia="ko-KR"/>
        </w:rPr>
        <w:t>re-establish_delay</w:t>
      </w:r>
      <w:r w:rsidRPr="007D0416">
        <w:rPr>
          <w:i/>
          <w:lang w:eastAsia="ko-KR"/>
        </w:rPr>
        <w:t xml:space="preserve"> seconds from the moment it detects </w:t>
      </w:r>
      <w:r w:rsidRPr="007D0416">
        <w:rPr>
          <w:i/>
          <w:snapToGrid w:val="0"/>
          <w:lang w:eastAsia="ko-KR"/>
        </w:rPr>
        <w:t>a loss in RRC connection</w:t>
      </w:r>
      <w:r w:rsidRPr="007D0416">
        <w:rPr>
          <w:i/>
          <w:lang w:eastAsia="ko-KR"/>
        </w:rPr>
        <w:t>. The total RRC connection delay (T</w:t>
      </w:r>
      <w:r w:rsidRPr="007D0416">
        <w:rPr>
          <w:i/>
          <w:vertAlign w:val="subscript"/>
          <w:lang w:eastAsia="ko-KR"/>
        </w:rPr>
        <w:t>re-establish_delay</w:t>
      </w:r>
      <w:r w:rsidRPr="007D0416">
        <w:rPr>
          <w:i/>
          <w:lang w:eastAsia="ko-KR"/>
        </w:rPr>
        <w:t>) shall be less than:</w:t>
      </w:r>
    </w:p>
    <w:p w14:paraId="2EF67A4B" w14:textId="111289E7" w:rsidR="0025228B" w:rsidRDefault="003F0A56" w:rsidP="0025228B">
      <w:pPr>
        <w:pStyle w:val="EQ"/>
        <w:jc w:val="center"/>
        <w:rPr>
          <w:i/>
          <w:vertAlign w:val="subscript"/>
        </w:rPr>
      </w:pPr>
      <m:oMathPara>
        <m:oMath>
          <m:sSub>
            <m:sSubPr>
              <m:ctrlPr>
                <w:rPr>
                  <w:rFonts w:ascii="Cambria Math" w:hAnsi="Cambria Math"/>
                  <w:lang w:val="en-GB" w:eastAsia="ko-KR"/>
                </w:rPr>
              </m:ctrlPr>
            </m:sSubPr>
            <m:e>
              <m:r>
                <w:rPr>
                  <w:rFonts w:ascii="Cambria Math" w:hAnsi="Cambria Math"/>
                  <w:noProof w:val="0"/>
                  <w:lang w:eastAsia="ko-KR"/>
                </w:rPr>
                <m:t>T</m:t>
              </m:r>
            </m:e>
            <m:sub>
              <m:r>
                <w:rPr>
                  <w:rFonts w:ascii="Cambria Math" w:hAnsi="Cambria Math"/>
                  <w:noProof w:val="0"/>
                  <w:lang w:eastAsia="ko-KR"/>
                </w:rPr>
                <m:t>re-establis</m:t>
              </m:r>
              <m:sSub>
                <m:sSubPr>
                  <m:ctrlPr>
                    <w:rPr>
                      <w:rFonts w:ascii="Cambria Math" w:hAnsi="Cambria Math"/>
                      <w:i/>
                      <w:noProof w:val="0"/>
                      <w:lang w:eastAsia="ko-KR"/>
                    </w:rPr>
                  </m:ctrlPr>
                </m:sSubPr>
                <m:e>
                  <m:r>
                    <w:rPr>
                      <w:rFonts w:ascii="Cambria Math" w:hAnsi="Cambria Math"/>
                      <w:noProof w:val="0"/>
                      <w:lang w:eastAsia="ko-KR"/>
                    </w:rPr>
                    <m:t>h</m:t>
                  </m:r>
                </m:e>
                <m:sub>
                  <m:r>
                    <w:rPr>
                      <w:rFonts w:ascii="Cambria Math" w:hAnsi="Cambria Math"/>
                      <w:noProof w:val="0"/>
                      <w:lang w:eastAsia="ko-KR"/>
                    </w:rPr>
                    <m:t>delay</m:t>
                  </m:r>
                </m:sub>
              </m:sSub>
            </m:sub>
          </m:sSub>
          <m:r>
            <w:rPr>
              <w:rFonts w:ascii="Cambria Math" w:hAnsi="Cambria Math"/>
              <w:noProof w:val="0"/>
              <w:lang w:eastAsia="ko-KR"/>
            </w:rPr>
            <m:t>=</m:t>
          </m:r>
          <m:sSub>
            <m:sSubPr>
              <m:ctrlPr>
                <w:rPr>
                  <w:rFonts w:ascii="Cambria Math" w:hAnsi="Cambria Math"/>
                  <w:lang w:val="en-GB" w:eastAsia="ko-KR"/>
                </w:rPr>
              </m:ctrlPr>
            </m:sSubPr>
            <m:e>
              <m:r>
                <w:rPr>
                  <w:rFonts w:ascii="Cambria Math" w:hAnsi="Cambria Math"/>
                  <w:noProof w:val="0"/>
                  <w:lang w:eastAsia="ko-KR"/>
                </w:rPr>
                <m:t>T</m:t>
              </m:r>
            </m:e>
            <m:sub>
              <m:r>
                <w:rPr>
                  <w:rFonts w:ascii="Cambria Math" w:hAnsi="Cambria Math"/>
                  <w:noProof w:val="0"/>
                  <w:lang w:eastAsia="ko-KR"/>
                </w:rPr>
                <m:t>U</m:t>
              </m:r>
              <m:sSub>
                <m:sSubPr>
                  <m:ctrlPr>
                    <w:rPr>
                      <w:rFonts w:ascii="Cambria Math" w:hAnsi="Cambria Math"/>
                      <w:i/>
                      <w:noProof w:val="0"/>
                      <w:lang w:eastAsia="ko-KR"/>
                    </w:rPr>
                  </m:ctrlPr>
                </m:sSubPr>
                <m:e>
                  <m:r>
                    <w:rPr>
                      <w:rFonts w:ascii="Cambria Math" w:hAnsi="Cambria Math"/>
                      <w:noProof w:val="0"/>
                      <w:lang w:eastAsia="ko-KR"/>
                    </w:rPr>
                    <m:t>E</m:t>
                  </m:r>
                </m:e>
                <m:sub>
                  <m:r>
                    <w:rPr>
                      <w:rFonts w:ascii="Cambria Math" w:hAnsi="Cambria Math"/>
                      <w:noProof w:val="0"/>
                      <w:lang w:eastAsia="ko-KR"/>
                    </w:rPr>
                    <m:t>re</m:t>
                  </m:r>
                </m:sub>
              </m:sSub>
              <m:r>
                <w:rPr>
                  <w:rFonts w:ascii="Cambria Math" w:hAnsi="Cambria Math"/>
                  <w:noProof w:val="0"/>
                  <w:lang w:eastAsia="ko-KR"/>
                </w:rPr>
                <m:t>-establis</m:t>
              </m:r>
              <m:sSub>
                <m:sSubPr>
                  <m:ctrlPr>
                    <w:rPr>
                      <w:rFonts w:ascii="Cambria Math" w:hAnsi="Cambria Math"/>
                      <w:i/>
                      <w:noProof w:val="0"/>
                      <w:lang w:eastAsia="ko-KR"/>
                    </w:rPr>
                  </m:ctrlPr>
                </m:sSubPr>
                <m:e>
                  <m:r>
                    <w:rPr>
                      <w:rFonts w:ascii="Cambria Math" w:hAnsi="Cambria Math"/>
                      <w:noProof w:val="0"/>
                      <w:lang w:eastAsia="ko-KR"/>
                    </w:rPr>
                    <m:t>h</m:t>
                  </m:r>
                </m:e>
                <m:sub>
                  <m:r>
                    <w:rPr>
                      <w:rFonts w:ascii="Cambria Math" w:hAnsi="Cambria Math"/>
                      <w:noProof w:val="0"/>
                      <w:lang w:eastAsia="ko-KR"/>
                    </w:rPr>
                    <m:t>delay</m:t>
                  </m:r>
                </m:sub>
              </m:sSub>
            </m:sub>
          </m:sSub>
          <m:r>
            <m:rPr>
              <m:sty m:val="p"/>
            </m:rPr>
            <w:rPr>
              <w:rFonts w:ascii="Cambria Math" w:hAnsi="Cambria Math"/>
              <w:lang w:eastAsia="ko-KR"/>
            </w:rPr>
            <m:t>+</m:t>
          </m:r>
          <m:sSub>
            <m:sSubPr>
              <m:ctrlPr>
                <w:rPr>
                  <w:rFonts w:ascii="Cambria Math" w:hAnsi="Cambria Math"/>
                  <w:i/>
                  <w:lang w:val="en-GB" w:eastAsia="ko-KR"/>
                </w:rPr>
              </m:ctrlPr>
            </m:sSubPr>
            <m:e>
              <m:r>
                <w:rPr>
                  <w:rFonts w:ascii="Cambria Math" w:hAnsi="Cambria Math"/>
                  <w:noProof w:val="0"/>
                  <w:lang w:eastAsia="ko-KR"/>
                </w:rPr>
                <m:t>T</m:t>
              </m:r>
            </m:e>
            <m:sub>
              <m:r>
                <w:rPr>
                  <w:rFonts w:ascii="Cambria Math" w:hAnsi="Cambria Math"/>
                  <w:noProof w:val="0"/>
                  <w:lang w:eastAsia="ko-KR"/>
                </w:rPr>
                <m:t>U</m:t>
              </m:r>
              <m:sSub>
                <m:sSubPr>
                  <m:ctrlPr>
                    <w:rPr>
                      <w:rFonts w:ascii="Cambria Math" w:hAnsi="Cambria Math"/>
                      <w:i/>
                      <w:noProof w:val="0"/>
                      <w:lang w:eastAsia="ko-KR"/>
                    </w:rPr>
                  </m:ctrlPr>
                </m:sSubPr>
                <m:e>
                  <m:r>
                    <w:rPr>
                      <w:rFonts w:ascii="Cambria Math" w:hAnsi="Cambria Math"/>
                      <w:noProof w:val="0"/>
                      <w:lang w:eastAsia="ko-KR"/>
                    </w:rPr>
                    <m:t>L</m:t>
                  </m:r>
                </m:e>
                <m:sub>
                  <m:r>
                    <w:rPr>
                      <w:rFonts w:ascii="Cambria Math" w:hAnsi="Cambria Math"/>
                      <w:noProof w:val="0"/>
                      <w:lang w:eastAsia="ko-KR"/>
                    </w:rPr>
                    <m:t>grant</m:t>
                  </m:r>
                </m:sub>
              </m:sSub>
            </m:sub>
          </m:sSub>
        </m:oMath>
      </m:oMathPara>
    </w:p>
    <w:p w14:paraId="40BE52E8" w14:textId="77777777" w:rsidR="0025228B" w:rsidRPr="007D0416" w:rsidRDefault="0025228B" w:rsidP="007D0416">
      <w:pPr>
        <w:ind w:left="720"/>
        <w:rPr>
          <w:i/>
        </w:rPr>
      </w:pPr>
      <w:r w:rsidRPr="007D0416">
        <w:rPr>
          <w:i/>
        </w:rPr>
        <w:t>T</w:t>
      </w:r>
      <w:r w:rsidRPr="007D0416">
        <w:rPr>
          <w:i/>
          <w:vertAlign w:val="subscript"/>
        </w:rPr>
        <w:t>UL_grant</w:t>
      </w:r>
      <w:r w:rsidRPr="007D0416">
        <w:rPr>
          <w:i/>
        </w:rPr>
        <w:t>: It is the time required to acquire and process uplink grant from the target PCell. The uplink grant is required to</w:t>
      </w:r>
      <w:r w:rsidRPr="007D0416">
        <w:rPr>
          <w:i/>
          <w:lang w:eastAsia="ko-KR"/>
        </w:rPr>
        <w:t xml:space="preserve"> </w:t>
      </w:r>
      <w:r w:rsidRPr="007D0416">
        <w:rPr>
          <w:i/>
        </w:rPr>
        <w:t xml:space="preserve">transmit RRCReestablishmentRequest </w:t>
      </w:r>
      <w:r w:rsidRPr="007D0416">
        <w:rPr>
          <w:rFonts w:cs="v4.2.0"/>
          <w:i/>
        </w:rPr>
        <w:t>message.</w:t>
      </w:r>
    </w:p>
    <w:p w14:paraId="30E3BD03" w14:textId="4EED74E5" w:rsidR="0025228B" w:rsidRDefault="007D0416" w:rsidP="0025228B">
      <w:pPr>
        <w:rPr>
          <w:rFonts w:eastAsia="宋体"/>
          <w:lang w:val="en-GB" w:eastAsia="ko-KR"/>
        </w:rPr>
      </w:pPr>
      <w:r>
        <w:rPr>
          <w:lang w:eastAsia="ko-KR"/>
        </w:rPr>
        <w:t xml:space="preserve">Further, </w:t>
      </w:r>
      <w:r>
        <w:rPr>
          <w:lang w:eastAsia="ko-KR"/>
        </w:rPr>
        <w:fldChar w:fldCharType="begin"/>
      </w:r>
      <w:r>
        <w:rPr>
          <w:lang w:eastAsia="ko-KR"/>
        </w:rPr>
        <w:instrText xml:space="preserve"> REF _Ref20751466 \r \h </w:instrText>
      </w:r>
      <w:r>
        <w:rPr>
          <w:lang w:eastAsia="ko-KR"/>
        </w:rPr>
      </w:r>
      <w:r>
        <w:rPr>
          <w:lang w:eastAsia="ko-KR"/>
        </w:rPr>
        <w:fldChar w:fldCharType="separate"/>
      </w:r>
      <w:r>
        <w:rPr>
          <w:lang w:eastAsia="ko-KR"/>
        </w:rPr>
        <w:t>[2]</w:t>
      </w:r>
      <w:r>
        <w:rPr>
          <w:lang w:eastAsia="ko-KR"/>
        </w:rPr>
        <w:fldChar w:fldCharType="end"/>
      </w:r>
      <w:r>
        <w:rPr>
          <w:lang w:eastAsia="ko-KR"/>
        </w:rPr>
        <w:t xml:space="preserve"> says that</w:t>
      </w:r>
      <w:r w:rsidRPr="007D0416">
        <w:rPr>
          <w:lang w:eastAsia="ko-KR"/>
        </w:rPr>
        <w:t xml:space="preserve"> t</w:t>
      </w:r>
      <w:r w:rsidR="0025228B" w:rsidRPr="007D0416">
        <w:rPr>
          <w:lang w:eastAsia="ko-KR"/>
        </w:rPr>
        <w:t>he UE re-establishment delay (T</w:t>
      </w:r>
      <w:r w:rsidR="0025228B" w:rsidRPr="007D0416">
        <w:rPr>
          <w:vertAlign w:val="subscript"/>
          <w:lang w:eastAsia="ko-KR"/>
        </w:rPr>
        <w:t>UE_re-establish_delay</w:t>
      </w:r>
      <w:r w:rsidR="0025228B" w:rsidRPr="007D0416">
        <w:rPr>
          <w:lang w:eastAsia="ko-KR"/>
        </w:rPr>
        <w:t xml:space="preserve">) is the time between the moment </w:t>
      </w:r>
      <w:r w:rsidRPr="007D0416">
        <w:rPr>
          <w:lang w:eastAsia="ko-KR"/>
        </w:rPr>
        <w:t xml:space="preserve">of detecting condition </w:t>
      </w:r>
      <w:r w:rsidR="0025228B" w:rsidRPr="007D0416">
        <w:rPr>
          <w:lang w:eastAsia="ko-KR"/>
        </w:rPr>
        <w:t xml:space="preserve">requiring RRC </w:t>
      </w:r>
      <w:r w:rsidR="0025228B" w:rsidRPr="007D0416">
        <w:rPr>
          <w:lang w:eastAsia="zh-CN"/>
        </w:rPr>
        <w:t>re-establishment</w:t>
      </w:r>
      <w:r w:rsidR="0025228B" w:rsidRPr="007D0416">
        <w:rPr>
          <w:lang w:eastAsia="ko-KR"/>
        </w:rPr>
        <w:t xml:space="preserve"> and </w:t>
      </w:r>
      <w:r>
        <w:rPr>
          <w:lang w:eastAsia="ko-KR"/>
        </w:rPr>
        <w:t xml:space="preserve">the time </w:t>
      </w:r>
      <w:r w:rsidR="0025228B" w:rsidRPr="007D0416">
        <w:rPr>
          <w:lang w:eastAsia="ko-KR"/>
        </w:rPr>
        <w:t xml:space="preserve">when the PRACH </w:t>
      </w:r>
      <w:r w:rsidRPr="007D0416">
        <w:rPr>
          <w:lang w:eastAsia="ko-KR"/>
        </w:rPr>
        <w:t xml:space="preserve">is sent </w:t>
      </w:r>
      <w:r w:rsidR="0025228B" w:rsidRPr="007D0416">
        <w:rPr>
          <w:lang w:eastAsia="ko-KR"/>
        </w:rPr>
        <w:t xml:space="preserve">to the target </w:t>
      </w:r>
      <w:r w:rsidRPr="007D0416">
        <w:rPr>
          <w:lang w:eastAsia="zh-CN"/>
        </w:rPr>
        <w:t>cell</w:t>
      </w:r>
      <w:r w:rsidR="0025228B" w:rsidRPr="007D0416">
        <w:rPr>
          <w:lang w:eastAsia="ko-KR"/>
        </w:rPr>
        <w:t>. The UE re-establishment delay (T</w:t>
      </w:r>
      <w:r w:rsidR="0025228B" w:rsidRPr="007D0416">
        <w:rPr>
          <w:vertAlign w:val="subscript"/>
          <w:lang w:eastAsia="ko-KR"/>
        </w:rPr>
        <w:t>UE_re-establish_delay</w:t>
      </w:r>
      <w:r w:rsidR="0025228B" w:rsidRPr="007D0416">
        <w:rPr>
          <w:lang w:eastAsia="ko-KR"/>
        </w:rPr>
        <w:t>) requirement shall be less than</w:t>
      </w:r>
      <w:r w:rsidR="0025228B" w:rsidRPr="007D0416">
        <w:rPr>
          <w:i/>
          <w:lang w:eastAsia="ko-KR"/>
        </w:rPr>
        <w:t>:</w:t>
      </w:r>
    </w:p>
    <w:p w14:paraId="60B335C9" w14:textId="27D02041" w:rsidR="0025228B" w:rsidRDefault="003F0A56" w:rsidP="0025228B">
      <w:pPr>
        <w:rPr>
          <w:lang w:val="en-GB"/>
        </w:rPr>
      </w:pPr>
      <m:oMathPara>
        <m:oMath>
          <m:d>
            <m:dPr>
              <m:ctrlPr>
                <w:rPr>
                  <w:rFonts w:ascii="Cambria Math" w:hAnsi="Cambria Math"/>
                  <w:sz w:val="24"/>
                  <w:szCs w:val="24"/>
                  <w:lang w:eastAsia="ko-KR"/>
                </w:rPr>
              </m:ctrlPr>
            </m:dPr>
            <m:e>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re</m:t>
                      </m:r>
                    </m:sub>
                  </m:sSub>
                  <m:r>
                    <w:rPr>
                      <w:rFonts w:ascii="Cambria Math" w:hAnsi="Cambria Math"/>
                      <w:lang w:eastAsia="ko-KR"/>
                    </w:rPr>
                    <m:t>-establis</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delay</m:t>
                      </m:r>
                    </m:sub>
                  </m:sSub>
                </m:sub>
              </m:sSub>
              <m:r>
                <w:rPr>
                  <w:rFonts w:ascii="Cambria Math" w:hAnsi="Cambria Math"/>
                  <w:lang w:eastAsia="ko-KR"/>
                </w:rPr>
                <m:t>=50+</m:t>
              </m:r>
              <m:sSub>
                <m:sSubPr>
                  <m:ctrlPr>
                    <w:rPr>
                      <w:rFonts w:ascii="Cambria Math" w:hAnsi="Cambria Math"/>
                      <w:i/>
                      <w:sz w:val="24"/>
                      <w:szCs w:val="24"/>
                      <w:lang w:eastAsia="ko-KR"/>
                    </w:rPr>
                  </m:ctrlPr>
                </m:sSubPr>
                <m:e>
                  <m:r>
                    <w:rPr>
                      <w:rFonts w:ascii="Cambria Math" w:hAnsi="Cambria Math"/>
                      <w:lang w:eastAsia="ko-KR"/>
                    </w:rPr>
                    <m:t>T</m:t>
                  </m:r>
                </m:e>
                <m:sub>
                  <m:r>
                    <w:rPr>
                      <w:rFonts w:ascii="Cambria Math" w:hAnsi="Cambria Math"/>
                      <w:lang w:eastAsia="ko-KR"/>
                    </w:rPr>
                    <m:t>identif</m:t>
                  </m:r>
                  <m:sSub>
                    <m:sSubPr>
                      <m:ctrlPr>
                        <w:rPr>
                          <w:rFonts w:ascii="Cambria Math" w:hAnsi="Cambria Math"/>
                          <w:i/>
                          <w:lang w:eastAsia="ko-KR"/>
                        </w:rPr>
                      </m:ctrlPr>
                    </m:sSubPr>
                    <m:e>
                      <m:r>
                        <w:rPr>
                          <w:rFonts w:ascii="Cambria Math" w:hAnsi="Cambria Math"/>
                          <w:lang w:eastAsia="ko-KR"/>
                        </w:rPr>
                        <m:t>y</m:t>
                      </m:r>
                    </m:e>
                    <m:sub>
                      <m:r>
                        <w:rPr>
                          <w:rFonts w:ascii="Cambria Math" w:hAnsi="Cambria Math"/>
                          <w:lang w:eastAsia="ko-KR"/>
                        </w:rPr>
                        <m:t>intr</m:t>
                      </m:r>
                      <m:sSub>
                        <m:sSubPr>
                          <m:ctrlPr>
                            <w:rPr>
                              <w:rFonts w:ascii="Cambria Math" w:hAnsi="Cambria Math"/>
                              <w:i/>
                              <w:lang w:eastAsia="ko-KR"/>
                            </w:rPr>
                          </m:ctrlPr>
                        </m:sSubPr>
                        <m:e>
                          <m:r>
                            <w:rPr>
                              <w:rFonts w:ascii="Cambria Math" w:hAnsi="Cambria Math"/>
                              <w:lang w:eastAsia="ko-KR"/>
                            </w:rPr>
                            <m:t>a</m:t>
                          </m:r>
                        </m:e>
                        <m:sub>
                          <m:r>
                            <w:rPr>
                              <w:rFonts w:ascii="Cambria Math" w:hAnsi="Cambria Math"/>
                              <w:lang w:eastAsia="ko-KR"/>
                            </w:rPr>
                            <m:t>NR</m:t>
                          </m:r>
                        </m:sub>
                      </m:sSub>
                    </m:sub>
                  </m:sSub>
                </m:sub>
              </m:sSub>
              <m:r>
                <w:rPr>
                  <w:rFonts w:ascii="Cambria Math" w:hAnsi="Cambria Math"/>
                  <w:lang w:eastAsia="ko-KR"/>
                </w:rPr>
                <m:t>+</m:t>
              </m:r>
              <m:nary>
                <m:naryPr>
                  <m:chr m:val="∑"/>
                  <m:limLoc m:val="subSup"/>
                  <m:ctrlPr>
                    <w:rPr>
                      <w:rFonts w:ascii="Cambria Math" w:hAnsi="Cambria Math"/>
                      <w:sz w:val="24"/>
                      <w:szCs w:val="24"/>
                    </w:rPr>
                  </m:ctrlPr>
                </m:naryPr>
                <m:sub>
                  <m:r>
                    <w:rPr>
                      <w:rFonts w:ascii="Cambria Math" w:hAnsi="Cambria Math"/>
                    </w:rPr>
                    <m:t>i=1</m:t>
                  </m:r>
                </m:sub>
                <m:sup>
                  <m:r>
                    <w:rPr>
                      <w:rFonts w:ascii="Cambria Math" w:hAnsi="Cambria Math"/>
                    </w:rPr>
                    <m:t>Nfreq-1</m:t>
                  </m:r>
                </m:sup>
                <m:e>
                  <m:sSub>
                    <m:sSubPr>
                      <m:ctrlPr>
                        <w:rPr>
                          <w:rFonts w:ascii="Cambria Math" w:hAnsi="Cambria Math"/>
                          <w:i/>
                          <w:sz w:val="24"/>
                          <w:szCs w:val="24"/>
                        </w:rPr>
                      </m:ctrlPr>
                    </m:sSubPr>
                    <m:e>
                      <m:r>
                        <w:rPr>
                          <w:rFonts w:ascii="Cambria Math" w:hAnsi="Cambria Math"/>
                        </w:rPr>
                        <m:t>T</m:t>
                      </m:r>
                    </m:e>
                    <m:sub>
                      <m:r>
                        <w:rPr>
                          <w:rFonts w:ascii="Cambria Math" w:hAnsi="Cambria Math"/>
                        </w:rPr>
                        <m:t>identif</m:t>
                      </m:r>
                      <m:sSub>
                        <m:sSubPr>
                          <m:ctrlPr>
                            <w:rPr>
                              <w:rFonts w:ascii="Cambria Math" w:hAnsi="Cambria Math"/>
                              <w:i/>
                            </w:rPr>
                          </m:ctrlPr>
                        </m:sSubPr>
                        <m:e>
                          <m:r>
                            <w:rPr>
                              <w:rFonts w:ascii="Cambria Math" w:hAnsi="Cambria Math"/>
                            </w:rPr>
                            <m:t>y</m:t>
                          </m:r>
                        </m:e>
                        <m:sub>
                          <m:r>
                            <w:rPr>
                              <w:rFonts w:ascii="Cambria Math" w:hAnsi="Cambria Math"/>
                            </w:rPr>
                            <m:t>inte</m:t>
                          </m:r>
                          <m:sSub>
                            <m:sSubPr>
                              <m:ctrlPr>
                                <w:rPr>
                                  <w:rFonts w:ascii="Cambria Math" w:hAnsi="Cambria Math"/>
                                  <w:i/>
                                </w:rPr>
                              </m:ctrlPr>
                            </m:sSubPr>
                            <m:e>
                              <m:r>
                                <w:rPr>
                                  <w:rFonts w:ascii="Cambria Math" w:hAnsi="Cambria Math"/>
                                </w:rPr>
                                <m:t>r</m:t>
                              </m:r>
                            </m:e>
                            <m:sub>
                              <m:r>
                                <w:rPr>
                                  <w:rFonts w:ascii="Cambria Math" w:hAnsi="Cambria Math"/>
                                </w:rPr>
                                <m:t>NR</m:t>
                              </m:r>
                            </m:sub>
                          </m:sSub>
                        </m:sub>
                      </m:sSub>
                      <m:r>
                        <w:rPr>
                          <w:rFonts w:ascii="Cambria Math" w:hAnsi="Cambria Math"/>
                        </w:rPr>
                        <m:t>,i</m:t>
                      </m:r>
                    </m:sub>
                  </m:sSub>
                </m:e>
              </m:nary>
              <m:r>
                <m:rPr>
                  <m:sty m:val="p"/>
                </m:rPr>
                <w:rPr>
                  <w:rFonts w:ascii="Cambria Math" w:hAnsi="Cambria Math"/>
                  <w:vertAlign w:val="subscript"/>
                </w:rPr>
                <m:t>+</m:t>
              </m:r>
              <m:sSub>
                <m:sSubPr>
                  <m:ctrlPr>
                    <w:rPr>
                      <w:rFonts w:ascii="Cambria Math" w:hAnsi="Cambria Math"/>
                      <w:sz w:val="24"/>
                      <w:szCs w:val="24"/>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sz w:val="24"/>
                      <w:szCs w:val="24"/>
                      <w:vertAlign w:val="subscript"/>
                    </w:rPr>
                  </m:ctrlPr>
                </m:sSubPr>
                <m:e>
                  <m:r>
                    <w:rPr>
                      <w:rFonts w:ascii="Cambria Math" w:hAnsi="Cambria Math"/>
                      <w:vertAlign w:val="subscript"/>
                    </w:rPr>
                    <m:t>T</m:t>
                  </m:r>
                </m:e>
                <m:sub>
                  <m:r>
                    <w:rPr>
                      <w:rFonts w:ascii="Cambria Math" w:hAnsi="Cambria Math"/>
                      <w:vertAlign w:val="subscript"/>
                    </w:rPr>
                    <m:t>PRACH</m:t>
                  </m:r>
                </m:sub>
              </m:sSub>
            </m:e>
          </m:d>
        </m:oMath>
      </m:oMathPara>
    </w:p>
    <w:p w14:paraId="06824E28" w14:textId="7CA0BE7C" w:rsidR="0025228B" w:rsidRDefault="00AD0309" w:rsidP="001D46A3">
      <w:pPr>
        <w:spacing w:after="40"/>
        <w:rPr>
          <w:lang w:val="en-GB"/>
        </w:rPr>
      </w:pPr>
      <w:r>
        <w:rPr>
          <w:lang w:val="en-GB"/>
        </w:rPr>
        <w:t>where</w:t>
      </w:r>
      <w:r w:rsidR="001D46A3">
        <w:rPr>
          <w:lang w:val="en-GB"/>
        </w:rPr>
        <w:t>:</w:t>
      </w:r>
    </w:p>
    <w:p w14:paraId="3DB885E5" w14:textId="64A4612C" w:rsidR="001D46A3" w:rsidRDefault="001D46A3" w:rsidP="001D46A3">
      <w:pPr>
        <w:spacing w:after="40"/>
        <w:ind w:left="720"/>
        <w:rPr>
          <w:lang w:val="en-GB"/>
        </w:rPr>
      </w:pPr>
      <w:r w:rsidRPr="001D46A3">
        <w:rPr>
          <w:lang w:val="en-GB"/>
        </w:rPr>
        <w:t>T</w:t>
      </w:r>
      <w:r w:rsidRPr="001D46A3">
        <w:rPr>
          <w:vertAlign w:val="subscript"/>
          <w:lang w:val="en-GB"/>
        </w:rPr>
        <w:t>identify_intra_NR</w:t>
      </w:r>
      <w:r w:rsidRPr="001D46A3">
        <w:rPr>
          <w:lang w:val="en-GB"/>
        </w:rPr>
        <w:t xml:space="preserve"> is the time to identify the target intra-frequency NR cell</w:t>
      </w:r>
    </w:p>
    <w:p w14:paraId="03D6764E" w14:textId="13D224C6" w:rsidR="001D46A3" w:rsidRDefault="001D46A3" w:rsidP="001D46A3">
      <w:pPr>
        <w:spacing w:after="40"/>
        <w:ind w:left="720"/>
        <w:rPr>
          <w:lang w:eastAsia="ko-KR"/>
        </w:rPr>
      </w:pPr>
      <w:r>
        <w:rPr>
          <w:lang w:eastAsia="ko-KR"/>
        </w:rPr>
        <w:t>T</w:t>
      </w:r>
      <w:r>
        <w:rPr>
          <w:vertAlign w:val="subscript"/>
          <w:lang w:eastAsia="ko-KR"/>
        </w:rPr>
        <w:t>identify_inter_NR,i</w:t>
      </w:r>
      <w:r>
        <w:rPr>
          <w:lang w:eastAsia="ko-KR"/>
        </w:rPr>
        <w:t xml:space="preserve"> is the time to identify the target inter-frequency NR cell on inter-frequency carrier</w:t>
      </w:r>
    </w:p>
    <w:p w14:paraId="2ED20B6C" w14:textId="7FD98E3A" w:rsidR="001D46A3" w:rsidRDefault="001D46A3" w:rsidP="001D46A3">
      <w:pPr>
        <w:spacing w:after="40"/>
        <w:ind w:left="720"/>
        <w:rPr>
          <w:rFonts w:cs="v4.2.0"/>
        </w:rPr>
      </w:pPr>
      <w:r>
        <w:rPr>
          <w:lang w:eastAsia="zh-CN"/>
        </w:rPr>
        <w:t>T</w:t>
      </w:r>
      <w:r>
        <w:rPr>
          <w:vertAlign w:val="subscript"/>
          <w:lang w:eastAsia="zh-CN"/>
        </w:rPr>
        <w:t xml:space="preserve">SI-NR </w:t>
      </w:r>
      <w:r>
        <w:rPr>
          <w:lang w:eastAsia="zh-CN"/>
        </w:rPr>
        <w:t xml:space="preserve"> </w:t>
      </w:r>
      <w:r>
        <w:rPr>
          <w:rFonts w:cs="v4.2.0"/>
        </w:rPr>
        <w:t>is the time required for receiving all the relevant system information</w:t>
      </w:r>
    </w:p>
    <w:p w14:paraId="448C82B8" w14:textId="58324027" w:rsidR="001D46A3" w:rsidRDefault="001D46A3" w:rsidP="001D46A3">
      <w:pPr>
        <w:ind w:left="720"/>
        <w:rPr>
          <w:lang w:val="en-GB"/>
        </w:rPr>
      </w:pPr>
      <w:r w:rsidRPr="001D46A3">
        <w:rPr>
          <w:lang w:val="en-GB"/>
        </w:rPr>
        <w:t>T</w:t>
      </w:r>
      <w:r w:rsidRPr="001D46A3">
        <w:rPr>
          <w:vertAlign w:val="subscript"/>
          <w:lang w:val="en-GB"/>
        </w:rPr>
        <w:t>PRACH</w:t>
      </w:r>
      <w:r w:rsidRPr="001D46A3">
        <w:rPr>
          <w:lang w:val="en-GB"/>
        </w:rPr>
        <w:t xml:space="preserve"> is the delay caused due to the random access procedure</w:t>
      </w:r>
    </w:p>
    <w:p w14:paraId="11F07044" w14:textId="38A459F9" w:rsidR="001D46A3" w:rsidRDefault="001D46A3" w:rsidP="001D46A3">
      <w:pPr>
        <w:rPr>
          <w:lang w:val="en-GB"/>
        </w:rPr>
      </w:pPr>
      <w:r w:rsidRPr="00533F9E">
        <w:rPr>
          <w:lang w:val="en-GB"/>
        </w:rPr>
        <w:t>Among these parameters, the first three could be assumed to be irrelevant for the static IAB deployment provided that the inter-IAB node measurements are configured properly and carried out during the normal IAB operation; see 2.1 for IAB specific configuration option.</w:t>
      </w:r>
      <w:r w:rsidR="00444B35" w:rsidRPr="00533F9E">
        <w:rPr>
          <w:lang w:val="en-GB"/>
        </w:rPr>
        <w:t xml:space="preserve"> The constant value (50) </w:t>
      </w:r>
      <w:r w:rsidR="00DF01F7" w:rsidRPr="00533F9E">
        <w:rPr>
          <w:lang w:val="en-GB"/>
        </w:rPr>
        <w:t xml:space="preserve">in the above equation </w:t>
      </w:r>
      <w:r w:rsidR="00444B35" w:rsidRPr="00533F9E">
        <w:rPr>
          <w:lang w:val="en-GB"/>
        </w:rPr>
        <w:t xml:space="preserve">is UE specific and </w:t>
      </w:r>
      <w:r w:rsidR="00936A5F" w:rsidRPr="00533F9E">
        <w:rPr>
          <w:lang w:val="en-GB"/>
        </w:rPr>
        <w:t>it is FFS how to define that for the IAB node.</w:t>
      </w:r>
    </w:p>
    <w:p w14:paraId="4B9EBFF7" w14:textId="6DA198A9" w:rsidR="001D46A3" w:rsidRDefault="00444B35" w:rsidP="001D46A3">
      <w:pPr>
        <w:rPr>
          <w:lang w:val="en-GB"/>
        </w:rPr>
      </w:pPr>
      <w:r>
        <w:rPr>
          <w:lang w:val="en-GB"/>
        </w:rPr>
        <w:t xml:space="preserve">The delay due to RACH depends on the IAB configuration and RACH related parameters similarly as during the access to the target cell in the HO procedure. </w:t>
      </w:r>
    </w:p>
    <w:p w14:paraId="3EF003CC" w14:textId="3576F872" w:rsidR="001D46A3" w:rsidRPr="00936A5F" w:rsidRDefault="00936A5F" w:rsidP="001D46A3">
      <w:pPr>
        <w:rPr>
          <w:b/>
          <w:lang w:val="en-GB"/>
        </w:rPr>
      </w:pPr>
      <w:r w:rsidRPr="00936A5F">
        <w:rPr>
          <w:b/>
          <w:lang w:val="en-GB"/>
        </w:rPr>
        <w:t>Observation 7: Similar uncertainties apply for the re-establishment as identified for the HO procedure if/how requirements for the IAB can be specified.</w:t>
      </w:r>
    </w:p>
    <w:p w14:paraId="7F85DAD7" w14:textId="141C6599" w:rsidR="00936A5F" w:rsidRPr="00281E6C" w:rsidRDefault="00936A5F" w:rsidP="00936A5F">
      <w:pPr>
        <w:rPr>
          <w:b/>
          <w:lang w:val="en-GB"/>
        </w:rPr>
      </w:pPr>
      <w:r>
        <w:rPr>
          <w:b/>
          <w:lang w:val="en-GB"/>
        </w:rPr>
        <w:t>Proposal</w:t>
      </w:r>
      <w:r w:rsidRPr="00435CBC">
        <w:rPr>
          <w:b/>
          <w:lang w:val="en-GB"/>
        </w:rPr>
        <w:t xml:space="preserve"> </w:t>
      </w:r>
      <w:r w:rsidR="003B68BF">
        <w:rPr>
          <w:b/>
          <w:lang w:val="en-GB"/>
        </w:rPr>
        <w:t>9</w:t>
      </w:r>
      <w:r w:rsidRPr="00435CBC">
        <w:rPr>
          <w:b/>
          <w:lang w:val="en-GB"/>
        </w:rPr>
        <w:t xml:space="preserve">: </w:t>
      </w:r>
      <w:r>
        <w:rPr>
          <w:b/>
          <w:lang w:val="en-GB"/>
        </w:rPr>
        <w:t xml:space="preserve">RAN4 </w:t>
      </w:r>
      <w:r w:rsidR="00D578C0">
        <w:rPr>
          <w:b/>
          <w:lang w:val="en-GB"/>
        </w:rPr>
        <w:t xml:space="preserve">should discuss </w:t>
      </w:r>
      <w:r>
        <w:rPr>
          <w:b/>
          <w:lang w:val="en-GB"/>
        </w:rPr>
        <w:t>if</w:t>
      </w:r>
      <w:r w:rsidR="00D578C0">
        <w:rPr>
          <w:b/>
          <w:lang w:val="en-GB"/>
        </w:rPr>
        <w:t xml:space="preserve"> and </w:t>
      </w:r>
      <w:r>
        <w:rPr>
          <w:b/>
          <w:lang w:val="en-GB"/>
        </w:rPr>
        <w:t>how requirements for IAB re-establishment c</w:t>
      </w:r>
      <w:r w:rsidR="00D578C0">
        <w:rPr>
          <w:b/>
          <w:lang w:val="en-GB"/>
        </w:rPr>
        <w:t>ould</w:t>
      </w:r>
      <w:r>
        <w:rPr>
          <w:b/>
          <w:lang w:val="en-GB"/>
        </w:rPr>
        <w:t xml:space="preserve"> be specified. </w:t>
      </w:r>
    </w:p>
    <w:p w14:paraId="3528E550" w14:textId="77777777" w:rsidR="00936A5F" w:rsidRPr="001D46A3" w:rsidRDefault="00936A5F" w:rsidP="001D46A3">
      <w:pPr>
        <w:rPr>
          <w:lang w:val="en-GB"/>
        </w:rPr>
      </w:pPr>
    </w:p>
    <w:p w14:paraId="1B01A1EA" w14:textId="77777777" w:rsidR="00D752E2" w:rsidRPr="00533F9E" w:rsidRDefault="00D752E2" w:rsidP="00D752E2">
      <w:pPr>
        <w:pStyle w:val="RAN4H1"/>
      </w:pPr>
      <w:r w:rsidRPr="00533F9E">
        <w:t>Conclusion</w:t>
      </w:r>
    </w:p>
    <w:p w14:paraId="268D53E2" w14:textId="77777777" w:rsidR="003B00D3" w:rsidRDefault="003B00D3" w:rsidP="00A57451">
      <w:pPr>
        <w:spacing w:after="240"/>
        <w:rPr>
          <w:lang w:val="en-GB"/>
        </w:rPr>
      </w:pPr>
      <w:r>
        <w:rPr>
          <w:lang w:val="en-GB"/>
        </w:rPr>
        <w:t>RAN4#92 discussed the need for IAB SSB based RRM requirements with no agreements [1]. In this paper we analysed the IAB behaviour during the integration and during the IAB active operation, and whether IAB specific RRM requirements would need to be specified. Based on the discussion we conclude:</w:t>
      </w:r>
    </w:p>
    <w:p w14:paraId="243D2937" w14:textId="77777777" w:rsidR="003B00D3" w:rsidRPr="008026BB" w:rsidRDefault="003B00D3" w:rsidP="003B00D3">
      <w:pPr>
        <w:rPr>
          <w:b/>
          <w:lang w:val="en-GB"/>
        </w:rPr>
      </w:pPr>
      <w:r w:rsidRPr="008026BB">
        <w:rPr>
          <w:b/>
          <w:lang w:val="en-GB"/>
        </w:rPr>
        <w:t>Proposal 1: As with access UE, there is no need to specify requirements for IAB-MT cell selection.</w:t>
      </w:r>
    </w:p>
    <w:p w14:paraId="407C5028" w14:textId="77777777" w:rsidR="003B00D3" w:rsidRPr="00A13F2D" w:rsidRDefault="003B00D3" w:rsidP="003B00D3">
      <w:pPr>
        <w:rPr>
          <w:b/>
          <w:lang w:val="en-GB"/>
        </w:rPr>
      </w:pPr>
      <w:r w:rsidRPr="00A13F2D">
        <w:rPr>
          <w:b/>
          <w:lang w:val="en-GB"/>
        </w:rPr>
        <w:t xml:space="preserve">Proposal 2: </w:t>
      </w:r>
      <w:r>
        <w:rPr>
          <w:b/>
          <w:lang w:val="en-GB"/>
        </w:rPr>
        <w:t>Idle mode measurements and</w:t>
      </w:r>
      <w:r w:rsidRPr="00A13F2D">
        <w:rPr>
          <w:b/>
          <w:lang w:val="en-GB"/>
        </w:rPr>
        <w:t xml:space="preserve"> evaluation </w:t>
      </w:r>
      <w:r>
        <w:rPr>
          <w:b/>
          <w:lang w:val="en-GB"/>
        </w:rPr>
        <w:t xml:space="preserve">for </w:t>
      </w:r>
      <w:r w:rsidRPr="00A13F2D">
        <w:rPr>
          <w:b/>
          <w:lang w:val="en-GB"/>
        </w:rPr>
        <w:t xml:space="preserve">cell </w:t>
      </w:r>
      <w:r>
        <w:rPr>
          <w:b/>
          <w:lang w:val="en-GB"/>
        </w:rPr>
        <w:t xml:space="preserve">reselection </w:t>
      </w:r>
      <w:r w:rsidRPr="00A13F2D">
        <w:rPr>
          <w:b/>
          <w:lang w:val="en-GB"/>
        </w:rPr>
        <w:t>does not have to be specified for IAB-MT.</w:t>
      </w:r>
    </w:p>
    <w:p w14:paraId="57914075" w14:textId="77777777" w:rsidR="003B00D3" w:rsidRPr="003901E8" w:rsidRDefault="003B00D3" w:rsidP="003B00D3">
      <w:pPr>
        <w:rPr>
          <w:b/>
          <w:lang w:val="en-GB"/>
        </w:rPr>
      </w:pPr>
      <w:r w:rsidRPr="003901E8">
        <w:rPr>
          <w:b/>
          <w:lang w:val="en-GB"/>
        </w:rPr>
        <w:t xml:space="preserve">Proposal 3: Other requirements for idle </w:t>
      </w:r>
      <w:r>
        <w:rPr>
          <w:b/>
          <w:lang w:val="en-GB"/>
        </w:rPr>
        <w:t>mode</w:t>
      </w:r>
      <w:r w:rsidRPr="003901E8">
        <w:rPr>
          <w:b/>
          <w:lang w:val="en-GB"/>
        </w:rPr>
        <w:t xml:space="preserve"> measurements or paging reception are not specified for IAB.</w:t>
      </w:r>
    </w:p>
    <w:p w14:paraId="34AA5F43" w14:textId="77777777" w:rsidR="003B00D3" w:rsidRPr="003901E8" w:rsidRDefault="003B00D3" w:rsidP="003B00D3">
      <w:pPr>
        <w:rPr>
          <w:b/>
          <w:lang w:val="en-GB"/>
        </w:rPr>
      </w:pPr>
      <w:r w:rsidRPr="003901E8">
        <w:rPr>
          <w:b/>
          <w:lang w:val="en-GB"/>
        </w:rPr>
        <w:t xml:space="preserve">Proposal </w:t>
      </w:r>
      <w:r>
        <w:rPr>
          <w:b/>
          <w:lang w:val="en-GB"/>
        </w:rPr>
        <w:t>4</w:t>
      </w:r>
      <w:r w:rsidRPr="003901E8">
        <w:rPr>
          <w:b/>
          <w:lang w:val="en-GB"/>
        </w:rPr>
        <w:t xml:space="preserve">: </w:t>
      </w:r>
      <w:r>
        <w:rPr>
          <w:b/>
          <w:lang w:val="en-GB"/>
        </w:rPr>
        <w:t xml:space="preserve">No </w:t>
      </w:r>
      <w:r w:rsidRPr="003901E8">
        <w:rPr>
          <w:b/>
          <w:lang w:val="en-GB"/>
        </w:rPr>
        <w:t xml:space="preserve">requirements for </w:t>
      </w:r>
      <w:r>
        <w:rPr>
          <w:b/>
          <w:lang w:val="en-GB"/>
        </w:rPr>
        <w:t xml:space="preserve">RRC_INACTIVE as it is not supported in </w:t>
      </w:r>
      <w:r w:rsidRPr="003901E8">
        <w:rPr>
          <w:b/>
          <w:lang w:val="en-GB"/>
        </w:rPr>
        <w:t>IAB.</w:t>
      </w:r>
    </w:p>
    <w:p w14:paraId="5B242162" w14:textId="687889F2" w:rsidR="003B00D3" w:rsidRDefault="003B00D3" w:rsidP="003B00D3">
      <w:pPr>
        <w:rPr>
          <w:b/>
          <w:lang w:val="en-GB"/>
        </w:rPr>
      </w:pPr>
      <w:r w:rsidRPr="004A6EF8">
        <w:rPr>
          <w:b/>
          <w:lang w:val="en-GB"/>
        </w:rPr>
        <w:t xml:space="preserve">Proposal 5: The need for IAB-MT handover delay </w:t>
      </w:r>
      <w:r>
        <w:rPr>
          <w:b/>
          <w:lang w:val="en-GB"/>
        </w:rPr>
        <w:t xml:space="preserve">requirement </w:t>
      </w:r>
      <w:r w:rsidRPr="004A6EF8">
        <w:rPr>
          <w:b/>
          <w:lang w:val="en-GB"/>
        </w:rPr>
        <w:t>is FFS and depend on the selected procedure(s).</w:t>
      </w:r>
    </w:p>
    <w:p w14:paraId="7350FBDA" w14:textId="58034834" w:rsidR="003B68BF" w:rsidRDefault="003B68BF" w:rsidP="003B00D3">
      <w:pPr>
        <w:rPr>
          <w:b/>
          <w:lang w:val="en-GB"/>
        </w:rPr>
      </w:pPr>
      <w:r w:rsidRPr="00E83DE2">
        <w:rPr>
          <w:b/>
          <w:lang w:val="en-GB"/>
        </w:rPr>
        <w:lastRenderedPageBreak/>
        <w:t xml:space="preserve">Proposal </w:t>
      </w:r>
      <w:r>
        <w:rPr>
          <w:b/>
          <w:lang w:val="en-GB"/>
        </w:rPr>
        <w:t>6</w:t>
      </w:r>
      <w:r w:rsidRPr="00E83DE2">
        <w:rPr>
          <w:b/>
          <w:lang w:val="en-GB"/>
        </w:rPr>
        <w:t>: No need for strict RRM measurement requirements in IAB Rel-16.</w:t>
      </w:r>
    </w:p>
    <w:p w14:paraId="43FAAE3B" w14:textId="77777777" w:rsidR="003B68BF" w:rsidRDefault="003B68BF" w:rsidP="003B68BF">
      <w:pPr>
        <w:pStyle w:val="RAN4proposal"/>
        <w:numPr>
          <w:ilvl w:val="0"/>
          <w:numId w:val="0"/>
        </w:numPr>
        <w:rPr>
          <w:lang w:val="en-GB"/>
        </w:rPr>
      </w:pPr>
      <w:r w:rsidRPr="00E83DE2">
        <w:rPr>
          <w:lang w:val="en-GB"/>
        </w:rPr>
        <w:t xml:space="preserve">Proposal </w:t>
      </w:r>
      <w:r>
        <w:rPr>
          <w:lang w:val="en-GB"/>
        </w:rPr>
        <w:t>7</w:t>
      </w:r>
      <w:r w:rsidRPr="00E83DE2">
        <w:rPr>
          <w:lang w:val="en-GB"/>
        </w:rPr>
        <w:t xml:space="preserve">: </w:t>
      </w:r>
      <w:r>
        <w:rPr>
          <w:lang w:val="en-GB"/>
        </w:rPr>
        <w:t>Any RRM measurements for IAB RRM can be based on best effort in Rel-16</w:t>
      </w:r>
      <w:r w:rsidRPr="00E83DE2">
        <w:rPr>
          <w:lang w:val="en-GB"/>
        </w:rPr>
        <w:t>.</w:t>
      </w:r>
    </w:p>
    <w:p w14:paraId="28C78662" w14:textId="77777777" w:rsidR="003B68BF" w:rsidRPr="00281E6C" w:rsidRDefault="003B68BF" w:rsidP="003B68BF">
      <w:pPr>
        <w:rPr>
          <w:b/>
          <w:lang w:val="en-GB"/>
        </w:rPr>
      </w:pPr>
      <w:r>
        <w:rPr>
          <w:b/>
          <w:lang w:val="en-GB"/>
        </w:rPr>
        <w:t>Proposal</w:t>
      </w:r>
      <w:r w:rsidRPr="00435CBC">
        <w:rPr>
          <w:b/>
          <w:lang w:val="en-GB"/>
        </w:rPr>
        <w:t xml:space="preserve"> </w:t>
      </w:r>
      <w:r>
        <w:rPr>
          <w:b/>
          <w:lang w:val="en-GB"/>
        </w:rPr>
        <w:t>8</w:t>
      </w:r>
      <w:r w:rsidRPr="00435CBC">
        <w:rPr>
          <w:b/>
          <w:lang w:val="en-GB"/>
        </w:rPr>
        <w:t xml:space="preserve">: </w:t>
      </w:r>
      <w:r>
        <w:rPr>
          <w:b/>
          <w:lang w:val="en-GB"/>
        </w:rPr>
        <w:t xml:space="preserve">RAN4 should discuss if and how requirements for IAB topology adaptation using mobility procedures could be specified. </w:t>
      </w:r>
    </w:p>
    <w:p w14:paraId="70FEACF4" w14:textId="77777777" w:rsidR="003B68BF" w:rsidRPr="00281E6C" w:rsidRDefault="003B68BF" w:rsidP="003B68BF">
      <w:pPr>
        <w:rPr>
          <w:b/>
          <w:lang w:val="en-GB"/>
        </w:rPr>
      </w:pPr>
      <w:r>
        <w:rPr>
          <w:b/>
          <w:lang w:val="en-GB"/>
        </w:rPr>
        <w:t>Proposal</w:t>
      </w:r>
      <w:r w:rsidRPr="00435CBC">
        <w:rPr>
          <w:b/>
          <w:lang w:val="en-GB"/>
        </w:rPr>
        <w:t xml:space="preserve"> </w:t>
      </w:r>
      <w:r>
        <w:rPr>
          <w:b/>
          <w:lang w:val="en-GB"/>
        </w:rPr>
        <w:t>9</w:t>
      </w:r>
      <w:r w:rsidRPr="00435CBC">
        <w:rPr>
          <w:b/>
          <w:lang w:val="en-GB"/>
        </w:rPr>
        <w:t xml:space="preserve">: </w:t>
      </w:r>
      <w:r>
        <w:rPr>
          <w:b/>
          <w:lang w:val="en-GB"/>
        </w:rPr>
        <w:t xml:space="preserve">RAN4 should discuss if and how requirements for IAB re-establishment could be specified. </w:t>
      </w:r>
    </w:p>
    <w:p w14:paraId="3B2D6D7D" w14:textId="77777777" w:rsidR="006910AF" w:rsidRDefault="006910AF" w:rsidP="006910AF">
      <w:pPr>
        <w:pStyle w:val="RAN4proposal"/>
        <w:numPr>
          <w:ilvl w:val="0"/>
          <w:numId w:val="0"/>
        </w:numPr>
        <w:spacing w:after="40"/>
        <w:rPr>
          <w:b w:val="0"/>
          <w:lang w:val="en-GB"/>
        </w:rPr>
      </w:pPr>
    </w:p>
    <w:p w14:paraId="17A8818D" w14:textId="77777777" w:rsidR="00D752E2" w:rsidRPr="0080526F" w:rsidRDefault="00D752E2" w:rsidP="00D752E2">
      <w:pPr>
        <w:pStyle w:val="RAN4H1"/>
        <w:numPr>
          <w:ilvl w:val="0"/>
          <w:numId w:val="0"/>
        </w:numPr>
        <w:ind w:left="360" w:hanging="360"/>
      </w:pPr>
      <w:r w:rsidRPr="0080526F">
        <w:t>References</w:t>
      </w:r>
    </w:p>
    <w:p w14:paraId="76A94F57" w14:textId="6D4FFA50" w:rsidR="00225FD1" w:rsidRPr="00D25CEA" w:rsidRDefault="00225FD1" w:rsidP="00225FD1">
      <w:pPr>
        <w:pStyle w:val="ListParagraph"/>
        <w:numPr>
          <w:ilvl w:val="0"/>
          <w:numId w:val="21"/>
        </w:numPr>
        <w:ind w:right="-22"/>
        <w:rPr>
          <w:lang w:val="en-GB"/>
        </w:rPr>
      </w:pPr>
      <w:bookmarkStart w:id="6" w:name="_Ref11912873"/>
      <w:r w:rsidRPr="00F64932">
        <w:rPr>
          <w:i/>
          <w:lang w:val="en-GB"/>
        </w:rPr>
        <w:t>Draft RAN4 #9</w:t>
      </w:r>
      <w:r w:rsidR="006910AF">
        <w:rPr>
          <w:i/>
          <w:lang w:val="en-GB"/>
        </w:rPr>
        <w:t>2</w:t>
      </w:r>
      <w:r w:rsidRPr="00F64932">
        <w:rPr>
          <w:i/>
          <w:lang w:val="en-GB"/>
        </w:rPr>
        <w:t xml:space="preserve"> Meeting report</w:t>
      </w:r>
      <w:bookmarkEnd w:id="6"/>
    </w:p>
    <w:bookmarkStart w:id="7" w:name="_Ref20751466"/>
    <w:p w14:paraId="3042C65A" w14:textId="72CE7545" w:rsidR="00D25CEA" w:rsidRPr="00804EAF" w:rsidRDefault="00804EAF" w:rsidP="00B64D94">
      <w:pPr>
        <w:pStyle w:val="ListParagraph"/>
        <w:numPr>
          <w:ilvl w:val="0"/>
          <w:numId w:val="21"/>
        </w:numPr>
        <w:ind w:right="-22"/>
        <w:rPr>
          <w:lang w:val="en-GB"/>
        </w:rPr>
      </w:pPr>
      <w:r>
        <w:rPr>
          <w:lang w:val="en-GB"/>
        </w:rPr>
        <w:fldChar w:fldCharType="begin"/>
      </w:r>
      <w:r>
        <w:rPr>
          <w:lang w:val="en-GB"/>
        </w:rPr>
        <w:instrText xml:space="preserve"> HYPERLINK "https://portal.3gpp.org/desktopmodules/Specifications/SpecificationDetails.aspx?specificationId=3204" </w:instrText>
      </w:r>
      <w:r>
        <w:rPr>
          <w:lang w:val="en-GB"/>
        </w:rPr>
        <w:fldChar w:fldCharType="separate"/>
      </w:r>
      <w:r w:rsidRPr="00804EAF">
        <w:rPr>
          <w:rStyle w:val="Hyperlink"/>
          <w:lang w:val="en-GB"/>
        </w:rPr>
        <w:t>TS 38.133</w:t>
      </w:r>
      <w:r>
        <w:rPr>
          <w:lang w:val="en-GB"/>
        </w:rPr>
        <w:fldChar w:fldCharType="end"/>
      </w:r>
      <w:r w:rsidRPr="00804EAF">
        <w:rPr>
          <w:lang w:val="en-GB"/>
        </w:rPr>
        <w:t xml:space="preserve"> </w:t>
      </w:r>
      <w:r w:rsidRPr="00804EAF">
        <w:rPr>
          <w:i/>
          <w:lang w:val="en-GB"/>
        </w:rPr>
        <w:t>NR; Requirements for support of radio resource management</w:t>
      </w:r>
      <w:bookmarkEnd w:id="7"/>
    </w:p>
    <w:sectPr w:rsidR="00D25CEA" w:rsidRPr="00804EA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5E0EC" w14:textId="77777777" w:rsidR="003F0A56" w:rsidRDefault="003F0A56" w:rsidP="00001C9B">
      <w:pPr>
        <w:spacing w:after="0" w:line="240" w:lineRule="auto"/>
      </w:pPr>
      <w:r>
        <w:separator/>
      </w:r>
    </w:p>
  </w:endnote>
  <w:endnote w:type="continuationSeparator" w:id="0">
    <w:p w14:paraId="741E8778" w14:textId="77777777" w:rsidR="003F0A56" w:rsidRDefault="003F0A5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DBFF6" w14:textId="77777777" w:rsidR="003F0A56" w:rsidRDefault="003F0A56" w:rsidP="00001C9B">
      <w:pPr>
        <w:spacing w:after="0" w:line="240" w:lineRule="auto"/>
      </w:pPr>
      <w:r>
        <w:separator/>
      </w:r>
    </w:p>
  </w:footnote>
  <w:footnote w:type="continuationSeparator" w:id="0">
    <w:p w14:paraId="68F58CFA" w14:textId="77777777" w:rsidR="003F0A56" w:rsidRDefault="003F0A5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FA2540"/>
    <w:multiLevelType w:val="hybridMultilevel"/>
    <w:tmpl w:val="73481C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6E1549"/>
    <w:multiLevelType w:val="hybridMultilevel"/>
    <w:tmpl w:val="A89E5216"/>
    <w:lvl w:ilvl="0" w:tplc="7C66FCD0">
      <w:start w:val="1"/>
      <w:numFmt w:val="bullet"/>
      <w:lvlText w:val="•"/>
      <w:lvlJc w:val="left"/>
      <w:pPr>
        <w:tabs>
          <w:tab w:val="num" w:pos="720"/>
        </w:tabs>
        <w:ind w:left="720" w:hanging="360"/>
      </w:pPr>
      <w:rPr>
        <w:rFonts w:ascii="Arial" w:hAnsi="Arial" w:hint="default"/>
      </w:rPr>
    </w:lvl>
    <w:lvl w:ilvl="1" w:tplc="7BBC7BCC">
      <w:start w:val="1"/>
      <w:numFmt w:val="decimal"/>
      <w:lvlText w:val="%2."/>
      <w:lvlJc w:val="left"/>
      <w:pPr>
        <w:tabs>
          <w:tab w:val="num" w:pos="1440"/>
        </w:tabs>
        <w:ind w:left="1440" w:hanging="360"/>
      </w:pPr>
    </w:lvl>
    <w:lvl w:ilvl="2" w:tplc="E04433B0" w:tentative="1">
      <w:start w:val="1"/>
      <w:numFmt w:val="bullet"/>
      <w:lvlText w:val="•"/>
      <w:lvlJc w:val="left"/>
      <w:pPr>
        <w:tabs>
          <w:tab w:val="num" w:pos="2160"/>
        </w:tabs>
        <w:ind w:left="2160" w:hanging="360"/>
      </w:pPr>
      <w:rPr>
        <w:rFonts w:ascii="Arial" w:hAnsi="Arial" w:hint="default"/>
      </w:rPr>
    </w:lvl>
    <w:lvl w:ilvl="3" w:tplc="5CAA7A9C" w:tentative="1">
      <w:start w:val="1"/>
      <w:numFmt w:val="bullet"/>
      <w:lvlText w:val="•"/>
      <w:lvlJc w:val="left"/>
      <w:pPr>
        <w:tabs>
          <w:tab w:val="num" w:pos="2880"/>
        </w:tabs>
        <w:ind w:left="2880" w:hanging="360"/>
      </w:pPr>
      <w:rPr>
        <w:rFonts w:ascii="Arial" w:hAnsi="Arial" w:hint="default"/>
      </w:rPr>
    </w:lvl>
    <w:lvl w:ilvl="4" w:tplc="206E9464" w:tentative="1">
      <w:start w:val="1"/>
      <w:numFmt w:val="bullet"/>
      <w:lvlText w:val="•"/>
      <w:lvlJc w:val="left"/>
      <w:pPr>
        <w:tabs>
          <w:tab w:val="num" w:pos="3600"/>
        </w:tabs>
        <w:ind w:left="3600" w:hanging="360"/>
      </w:pPr>
      <w:rPr>
        <w:rFonts w:ascii="Arial" w:hAnsi="Arial" w:hint="default"/>
      </w:rPr>
    </w:lvl>
    <w:lvl w:ilvl="5" w:tplc="26C4AC32" w:tentative="1">
      <w:start w:val="1"/>
      <w:numFmt w:val="bullet"/>
      <w:lvlText w:val="•"/>
      <w:lvlJc w:val="left"/>
      <w:pPr>
        <w:tabs>
          <w:tab w:val="num" w:pos="4320"/>
        </w:tabs>
        <w:ind w:left="4320" w:hanging="360"/>
      </w:pPr>
      <w:rPr>
        <w:rFonts w:ascii="Arial" w:hAnsi="Arial" w:hint="default"/>
      </w:rPr>
    </w:lvl>
    <w:lvl w:ilvl="6" w:tplc="A2925B04" w:tentative="1">
      <w:start w:val="1"/>
      <w:numFmt w:val="bullet"/>
      <w:lvlText w:val="•"/>
      <w:lvlJc w:val="left"/>
      <w:pPr>
        <w:tabs>
          <w:tab w:val="num" w:pos="5040"/>
        </w:tabs>
        <w:ind w:left="5040" w:hanging="360"/>
      </w:pPr>
      <w:rPr>
        <w:rFonts w:ascii="Arial" w:hAnsi="Arial" w:hint="default"/>
      </w:rPr>
    </w:lvl>
    <w:lvl w:ilvl="7" w:tplc="3A203944" w:tentative="1">
      <w:start w:val="1"/>
      <w:numFmt w:val="bullet"/>
      <w:lvlText w:val="•"/>
      <w:lvlJc w:val="left"/>
      <w:pPr>
        <w:tabs>
          <w:tab w:val="num" w:pos="5760"/>
        </w:tabs>
        <w:ind w:left="5760" w:hanging="360"/>
      </w:pPr>
      <w:rPr>
        <w:rFonts w:ascii="Arial" w:hAnsi="Arial" w:hint="default"/>
      </w:rPr>
    </w:lvl>
    <w:lvl w:ilvl="8" w:tplc="72489A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754E7"/>
    <w:multiLevelType w:val="hybridMultilevel"/>
    <w:tmpl w:val="A21A38CA"/>
    <w:lvl w:ilvl="0" w:tplc="571E8AD6">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8F6D93"/>
    <w:multiLevelType w:val="hybridMultilevel"/>
    <w:tmpl w:val="73B2EBA2"/>
    <w:lvl w:ilvl="0" w:tplc="0AFCA5C8">
      <w:start w:val="4832"/>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3FD536F"/>
    <w:multiLevelType w:val="hybridMultilevel"/>
    <w:tmpl w:val="108C13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5661A"/>
    <w:multiLevelType w:val="hybridMultilevel"/>
    <w:tmpl w:val="E31EBAD2"/>
    <w:lvl w:ilvl="0" w:tplc="FF0E4ABE">
      <w:start w:val="4832"/>
      <w:numFmt w:val="bullet"/>
      <w:lvlText w:val=""/>
      <w:lvlJc w:val="left"/>
      <w:pPr>
        <w:ind w:left="405" w:hanging="360"/>
      </w:pPr>
      <w:rPr>
        <w:rFonts w:ascii="Wingdings" w:eastAsiaTheme="minorHAnsi" w:hAnsi="Wingdings" w:cstheme="minorBidi"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801D2"/>
    <w:multiLevelType w:val="hybridMultilevel"/>
    <w:tmpl w:val="78DC2D04"/>
    <w:lvl w:ilvl="0" w:tplc="73CCBA10">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EFD264B"/>
    <w:multiLevelType w:val="hybridMultilevel"/>
    <w:tmpl w:val="65EC6B7C"/>
    <w:lvl w:ilvl="0" w:tplc="F260F536">
      <w:start w:val="1"/>
      <w:numFmt w:val="bullet"/>
      <w:lvlText w:val="•"/>
      <w:lvlJc w:val="left"/>
      <w:pPr>
        <w:tabs>
          <w:tab w:val="num" w:pos="720"/>
        </w:tabs>
        <w:ind w:left="720" w:hanging="360"/>
      </w:pPr>
      <w:rPr>
        <w:rFonts w:ascii="Arial" w:hAnsi="Arial" w:hint="default"/>
      </w:rPr>
    </w:lvl>
    <w:lvl w:ilvl="1" w:tplc="DBF8703C">
      <w:start w:val="115"/>
      <w:numFmt w:val="bullet"/>
      <w:lvlText w:val="–"/>
      <w:lvlJc w:val="left"/>
      <w:pPr>
        <w:tabs>
          <w:tab w:val="num" w:pos="1440"/>
        </w:tabs>
        <w:ind w:left="1440" w:hanging="360"/>
      </w:pPr>
      <w:rPr>
        <w:rFonts w:ascii="Arial" w:hAnsi="Arial" w:hint="default"/>
      </w:rPr>
    </w:lvl>
    <w:lvl w:ilvl="2" w:tplc="2DEE5ACA" w:tentative="1">
      <w:start w:val="1"/>
      <w:numFmt w:val="bullet"/>
      <w:lvlText w:val="•"/>
      <w:lvlJc w:val="left"/>
      <w:pPr>
        <w:tabs>
          <w:tab w:val="num" w:pos="2160"/>
        </w:tabs>
        <w:ind w:left="2160" w:hanging="360"/>
      </w:pPr>
      <w:rPr>
        <w:rFonts w:ascii="Arial" w:hAnsi="Arial" w:hint="default"/>
      </w:rPr>
    </w:lvl>
    <w:lvl w:ilvl="3" w:tplc="5A4457E4" w:tentative="1">
      <w:start w:val="1"/>
      <w:numFmt w:val="bullet"/>
      <w:lvlText w:val="•"/>
      <w:lvlJc w:val="left"/>
      <w:pPr>
        <w:tabs>
          <w:tab w:val="num" w:pos="2880"/>
        </w:tabs>
        <w:ind w:left="2880" w:hanging="360"/>
      </w:pPr>
      <w:rPr>
        <w:rFonts w:ascii="Arial" w:hAnsi="Arial" w:hint="default"/>
      </w:rPr>
    </w:lvl>
    <w:lvl w:ilvl="4" w:tplc="386CE0FE" w:tentative="1">
      <w:start w:val="1"/>
      <w:numFmt w:val="bullet"/>
      <w:lvlText w:val="•"/>
      <w:lvlJc w:val="left"/>
      <w:pPr>
        <w:tabs>
          <w:tab w:val="num" w:pos="3600"/>
        </w:tabs>
        <w:ind w:left="3600" w:hanging="360"/>
      </w:pPr>
      <w:rPr>
        <w:rFonts w:ascii="Arial" w:hAnsi="Arial" w:hint="default"/>
      </w:rPr>
    </w:lvl>
    <w:lvl w:ilvl="5" w:tplc="00D2D58E" w:tentative="1">
      <w:start w:val="1"/>
      <w:numFmt w:val="bullet"/>
      <w:lvlText w:val="•"/>
      <w:lvlJc w:val="left"/>
      <w:pPr>
        <w:tabs>
          <w:tab w:val="num" w:pos="4320"/>
        </w:tabs>
        <w:ind w:left="4320" w:hanging="360"/>
      </w:pPr>
      <w:rPr>
        <w:rFonts w:ascii="Arial" w:hAnsi="Arial" w:hint="default"/>
      </w:rPr>
    </w:lvl>
    <w:lvl w:ilvl="6" w:tplc="48E27A4A" w:tentative="1">
      <w:start w:val="1"/>
      <w:numFmt w:val="bullet"/>
      <w:lvlText w:val="•"/>
      <w:lvlJc w:val="left"/>
      <w:pPr>
        <w:tabs>
          <w:tab w:val="num" w:pos="5040"/>
        </w:tabs>
        <w:ind w:left="5040" w:hanging="360"/>
      </w:pPr>
      <w:rPr>
        <w:rFonts w:ascii="Arial" w:hAnsi="Arial" w:hint="default"/>
      </w:rPr>
    </w:lvl>
    <w:lvl w:ilvl="7" w:tplc="0DB06CC8" w:tentative="1">
      <w:start w:val="1"/>
      <w:numFmt w:val="bullet"/>
      <w:lvlText w:val="•"/>
      <w:lvlJc w:val="left"/>
      <w:pPr>
        <w:tabs>
          <w:tab w:val="num" w:pos="5760"/>
        </w:tabs>
        <w:ind w:left="5760" w:hanging="360"/>
      </w:pPr>
      <w:rPr>
        <w:rFonts w:ascii="Arial" w:hAnsi="Arial" w:hint="default"/>
      </w:rPr>
    </w:lvl>
    <w:lvl w:ilvl="8" w:tplc="B4CA58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B96FB5"/>
    <w:multiLevelType w:val="hybridMultilevel"/>
    <w:tmpl w:val="638087C0"/>
    <w:lvl w:ilvl="0" w:tplc="546AD78E">
      <w:start w:val="1"/>
      <w:numFmt w:val="bullet"/>
      <w:lvlText w:val="•"/>
      <w:lvlJc w:val="left"/>
      <w:pPr>
        <w:tabs>
          <w:tab w:val="num" w:pos="720"/>
        </w:tabs>
        <w:ind w:left="720" w:hanging="360"/>
      </w:pPr>
      <w:rPr>
        <w:rFonts w:ascii="Arial" w:hAnsi="Arial" w:hint="default"/>
      </w:rPr>
    </w:lvl>
    <w:lvl w:ilvl="1" w:tplc="1D6E4DA2">
      <w:start w:val="115"/>
      <w:numFmt w:val="bullet"/>
      <w:lvlText w:val="–"/>
      <w:lvlJc w:val="left"/>
      <w:pPr>
        <w:tabs>
          <w:tab w:val="num" w:pos="1440"/>
        </w:tabs>
        <w:ind w:left="1440" w:hanging="360"/>
      </w:pPr>
      <w:rPr>
        <w:rFonts w:ascii="Arial" w:hAnsi="Arial" w:hint="default"/>
      </w:rPr>
    </w:lvl>
    <w:lvl w:ilvl="2" w:tplc="AA667A16" w:tentative="1">
      <w:start w:val="1"/>
      <w:numFmt w:val="bullet"/>
      <w:lvlText w:val="•"/>
      <w:lvlJc w:val="left"/>
      <w:pPr>
        <w:tabs>
          <w:tab w:val="num" w:pos="2160"/>
        </w:tabs>
        <w:ind w:left="2160" w:hanging="360"/>
      </w:pPr>
      <w:rPr>
        <w:rFonts w:ascii="Arial" w:hAnsi="Arial" w:hint="default"/>
      </w:rPr>
    </w:lvl>
    <w:lvl w:ilvl="3" w:tplc="3BB4D482" w:tentative="1">
      <w:start w:val="1"/>
      <w:numFmt w:val="bullet"/>
      <w:lvlText w:val="•"/>
      <w:lvlJc w:val="left"/>
      <w:pPr>
        <w:tabs>
          <w:tab w:val="num" w:pos="2880"/>
        </w:tabs>
        <w:ind w:left="2880" w:hanging="360"/>
      </w:pPr>
      <w:rPr>
        <w:rFonts w:ascii="Arial" w:hAnsi="Arial" w:hint="default"/>
      </w:rPr>
    </w:lvl>
    <w:lvl w:ilvl="4" w:tplc="31D2B746" w:tentative="1">
      <w:start w:val="1"/>
      <w:numFmt w:val="bullet"/>
      <w:lvlText w:val="•"/>
      <w:lvlJc w:val="left"/>
      <w:pPr>
        <w:tabs>
          <w:tab w:val="num" w:pos="3600"/>
        </w:tabs>
        <w:ind w:left="3600" w:hanging="360"/>
      </w:pPr>
      <w:rPr>
        <w:rFonts w:ascii="Arial" w:hAnsi="Arial" w:hint="default"/>
      </w:rPr>
    </w:lvl>
    <w:lvl w:ilvl="5" w:tplc="AD84371C" w:tentative="1">
      <w:start w:val="1"/>
      <w:numFmt w:val="bullet"/>
      <w:lvlText w:val="•"/>
      <w:lvlJc w:val="left"/>
      <w:pPr>
        <w:tabs>
          <w:tab w:val="num" w:pos="4320"/>
        </w:tabs>
        <w:ind w:left="4320" w:hanging="360"/>
      </w:pPr>
      <w:rPr>
        <w:rFonts w:ascii="Arial" w:hAnsi="Arial" w:hint="default"/>
      </w:rPr>
    </w:lvl>
    <w:lvl w:ilvl="6" w:tplc="AFEC6260" w:tentative="1">
      <w:start w:val="1"/>
      <w:numFmt w:val="bullet"/>
      <w:lvlText w:val="•"/>
      <w:lvlJc w:val="left"/>
      <w:pPr>
        <w:tabs>
          <w:tab w:val="num" w:pos="5040"/>
        </w:tabs>
        <w:ind w:left="5040" w:hanging="360"/>
      </w:pPr>
      <w:rPr>
        <w:rFonts w:ascii="Arial" w:hAnsi="Arial" w:hint="default"/>
      </w:rPr>
    </w:lvl>
    <w:lvl w:ilvl="7" w:tplc="8BD83E06" w:tentative="1">
      <w:start w:val="1"/>
      <w:numFmt w:val="bullet"/>
      <w:lvlText w:val="•"/>
      <w:lvlJc w:val="left"/>
      <w:pPr>
        <w:tabs>
          <w:tab w:val="num" w:pos="5760"/>
        </w:tabs>
        <w:ind w:left="5760" w:hanging="360"/>
      </w:pPr>
      <w:rPr>
        <w:rFonts w:ascii="Arial" w:hAnsi="Arial" w:hint="default"/>
      </w:rPr>
    </w:lvl>
    <w:lvl w:ilvl="8" w:tplc="E26AAE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A723B1"/>
    <w:multiLevelType w:val="hybridMultilevel"/>
    <w:tmpl w:val="E9C0E966"/>
    <w:lvl w:ilvl="0" w:tplc="8A80EBBA">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AFC7D6B"/>
    <w:multiLevelType w:val="hybridMultilevel"/>
    <w:tmpl w:val="81367A88"/>
    <w:lvl w:ilvl="0" w:tplc="4D285BE4">
      <w:start w:val="1"/>
      <w:numFmt w:val="bullet"/>
      <w:lvlText w:val="•"/>
      <w:lvlJc w:val="left"/>
      <w:pPr>
        <w:tabs>
          <w:tab w:val="num" w:pos="720"/>
        </w:tabs>
        <w:ind w:left="720" w:hanging="360"/>
      </w:pPr>
      <w:rPr>
        <w:rFonts w:ascii="Arial" w:hAnsi="Arial" w:hint="default"/>
      </w:rPr>
    </w:lvl>
    <w:lvl w:ilvl="1" w:tplc="C662110E">
      <w:start w:val="115"/>
      <w:numFmt w:val="bullet"/>
      <w:lvlText w:val="–"/>
      <w:lvlJc w:val="left"/>
      <w:pPr>
        <w:tabs>
          <w:tab w:val="num" w:pos="1440"/>
        </w:tabs>
        <w:ind w:left="1440" w:hanging="360"/>
      </w:pPr>
      <w:rPr>
        <w:rFonts w:ascii="Arial" w:hAnsi="Arial" w:hint="default"/>
      </w:rPr>
    </w:lvl>
    <w:lvl w:ilvl="2" w:tplc="B538D550">
      <w:start w:val="115"/>
      <w:numFmt w:val="bullet"/>
      <w:lvlText w:val="•"/>
      <w:lvlJc w:val="left"/>
      <w:pPr>
        <w:tabs>
          <w:tab w:val="num" w:pos="2160"/>
        </w:tabs>
        <w:ind w:left="2160" w:hanging="360"/>
      </w:pPr>
      <w:rPr>
        <w:rFonts w:ascii="Arial" w:hAnsi="Arial" w:hint="default"/>
      </w:rPr>
    </w:lvl>
    <w:lvl w:ilvl="3" w:tplc="F28EFC64" w:tentative="1">
      <w:start w:val="1"/>
      <w:numFmt w:val="bullet"/>
      <w:lvlText w:val="•"/>
      <w:lvlJc w:val="left"/>
      <w:pPr>
        <w:tabs>
          <w:tab w:val="num" w:pos="2880"/>
        </w:tabs>
        <w:ind w:left="2880" w:hanging="360"/>
      </w:pPr>
      <w:rPr>
        <w:rFonts w:ascii="Arial" w:hAnsi="Arial" w:hint="default"/>
      </w:rPr>
    </w:lvl>
    <w:lvl w:ilvl="4" w:tplc="3E54AA28" w:tentative="1">
      <w:start w:val="1"/>
      <w:numFmt w:val="bullet"/>
      <w:lvlText w:val="•"/>
      <w:lvlJc w:val="left"/>
      <w:pPr>
        <w:tabs>
          <w:tab w:val="num" w:pos="3600"/>
        </w:tabs>
        <w:ind w:left="3600" w:hanging="360"/>
      </w:pPr>
      <w:rPr>
        <w:rFonts w:ascii="Arial" w:hAnsi="Arial" w:hint="default"/>
      </w:rPr>
    </w:lvl>
    <w:lvl w:ilvl="5" w:tplc="39BAE3AC" w:tentative="1">
      <w:start w:val="1"/>
      <w:numFmt w:val="bullet"/>
      <w:lvlText w:val="•"/>
      <w:lvlJc w:val="left"/>
      <w:pPr>
        <w:tabs>
          <w:tab w:val="num" w:pos="4320"/>
        </w:tabs>
        <w:ind w:left="4320" w:hanging="360"/>
      </w:pPr>
      <w:rPr>
        <w:rFonts w:ascii="Arial" w:hAnsi="Arial" w:hint="default"/>
      </w:rPr>
    </w:lvl>
    <w:lvl w:ilvl="6" w:tplc="FFCA6D08" w:tentative="1">
      <w:start w:val="1"/>
      <w:numFmt w:val="bullet"/>
      <w:lvlText w:val="•"/>
      <w:lvlJc w:val="left"/>
      <w:pPr>
        <w:tabs>
          <w:tab w:val="num" w:pos="5040"/>
        </w:tabs>
        <w:ind w:left="5040" w:hanging="360"/>
      </w:pPr>
      <w:rPr>
        <w:rFonts w:ascii="Arial" w:hAnsi="Arial" w:hint="default"/>
      </w:rPr>
    </w:lvl>
    <w:lvl w:ilvl="7" w:tplc="290C3A28" w:tentative="1">
      <w:start w:val="1"/>
      <w:numFmt w:val="bullet"/>
      <w:lvlText w:val="•"/>
      <w:lvlJc w:val="left"/>
      <w:pPr>
        <w:tabs>
          <w:tab w:val="num" w:pos="5760"/>
        </w:tabs>
        <w:ind w:left="5760" w:hanging="360"/>
      </w:pPr>
      <w:rPr>
        <w:rFonts w:ascii="Arial" w:hAnsi="Arial" w:hint="default"/>
      </w:rPr>
    </w:lvl>
    <w:lvl w:ilvl="8" w:tplc="8FD09C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1C73C36"/>
    <w:multiLevelType w:val="hybridMultilevel"/>
    <w:tmpl w:val="636E05CA"/>
    <w:lvl w:ilvl="0" w:tplc="83BADF0C">
      <w:start w:val="1"/>
      <w:numFmt w:val="bullet"/>
      <w:lvlText w:val="•"/>
      <w:lvlJc w:val="left"/>
      <w:pPr>
        <w:tabs>
          <w:tab w:val="num" w:pos="720"/>
        </w:tabs>
        <w:ind w:left="720" w:hanging="360"/>
      </w:pPr>
      <w:rPr>
        <w:rFonts w:ascii="Arial" w:hAnsi="Arial" w:hint="default"/>
      </w:rPr>
    </w:lvl>
    <w:lvl w:ilvl="1" w:tplc="62CCC2E2">
      <w:start w:val="115"/>
      <w:numFmt w:val="bullet"/>
      <w:lvlText w:val="–"/>
      <w:lvlJc w:val="left"/>
      <w:pPr>
        <w:tabs>
          <w:tab w:val="num" w:pos="1440"/>
        </w:tabs>
        <w:ind w:left="1440" w:hanging="360"/>
      </w:pPr>
      <w:rPr>
        <w:rFonts w:ascii="Arial" w:hAnsi="Arial" w:hint="default"/>
      </w:rPr>
    </w:lvl>
    <w:lvl w:ilvl="2" w:tplc="08C4C18E" w:tentative="1">
      <w:start w:val="1"/>
      <w:numFmt w:val="bullet"/>
      <w:lvlText w:val="•"/>
      <w:lvlJc w:val="left"/>
      <w:pPr>
        <w:tabs>
          <w:tab w:val="num" w:pos="2160"/>
        </w:tabs>
        <w:ind w:left="2160" w:hanging="360"/>
      </w:pPr>
      <w:rPr>
        <w:rFonts w:ascii="Arial" w:hAnsi="Arial" w:hint="default"/>
      </w:rPr>
    </w:lvl>
    <w:lvl w:ilvl="3" w:tplc="D722C61E" w:tentative="1">
      <w:start w:val="1"/>
      <w:numFmt w:val="bullet"/>
      <w:lvlText w:val="•"/>
      <w:lvlJc w:val="left"/>
      <w:pPr>
        <w:tabs>
          <w:tab w:val="num" w:pos="2880"/>
        </w:tabs>
        <w:ind w:left="2880" w:hanging="360"/>
      </w:pPr>
      <w:rPr>
        <w:rFonts w:ascii="Arial" w:hAnsi="Arial" w:hint="default"/>
      </w:rPr>
    </w:lvl>
    <w:lvl w:ilvl="4" w:tplc="0CAEB510" w:tentative="1">
      <w:start w:val="1"/>
      <w:numFmt w:val="bullet"/>
      <w:lvlText w:val="•"/>
      <w:lvlJc w:val="left"/>
      <w:pPr>
        <w:tabs>
          <w:tab w:val="num" w:pos="3600"/>
        </w:tabs>
        <w:ind w:left="3600" w:hanging="360"/>
      </w:pPr>
      <w:rPr>
        <w:rFonts w:ascii="Arial" w:hAnsi="Arial" w:hint="default"/>
      </w:rPr>
    </w:lvl>
    <w:lvl w:ilvl="5" w:tplc="BA7EF898" w:tentative="1">
      <w:start w:val="1"/>
      <w:numFmt w:val="bullet"/>
      <w:lvlText w:val="•"/>
      <w:lvlJc w:val="left"/>
      <w:pPr>
        <w:tabs>
          <w:tab w:val="num" w:pos="4320"/>
        </w:tabs>
        <w:ind w:left="4320" w:hanging="360"/>
      </w:pPr>
      <w:rPr>
        <w:rFonts w:ascii="Arial" w:hAnsi="Arial" w:hint="default"/>
      </w:rPr>
    </w:lvl>
    <w:lvl w:ilvl="6" w:tplc="6B40CD06" w:tentative="1">
      <w:start w:val="1"/>
      <w:numFmt w:val="bullet"/>
      <w:lvlText w:val="•"/>
      <w:lvlJc w:val="left"/>
      <w:pPr>
        <w:tabs>
          <w:tab w:val="num" w:pos="5040"/>
        </w:tabs>
        <w:ind w:left="5040" w:hanging="360"/>
      </w:pPr>
      <w:rPr>
        <w:rFonts w:ascii="Arial" w:hAnsi="Arial" w:hint="default"/>
      </w:rPr>
    </w:lvl>
    <w:lvl w:ilvl="7" w:tplc="144CE8B0" w:tentative="1">
      <w:start w:val="1"/>
      <w:numFmt w:val="bullet"/>
      <w:lvlText w:val="•"/>
      <w:lvlJc w:val="left"/>
      <w:pPr>
        <w:tabs>
          <w:tab w:val="num" w:pos="5760"/>
        </w:tabs>
        <w:ind w:left="5760" w:hanging="360"/>
      </w:pPr>
      <w:rPr>
        <w:rFonts w:ascii="Arial" w:hAnsi="Arial" w:hint="default"/>
      </w:rPr>
    </w:lvl>
    <w:lvl w:ilvl="8" w:tplc="3EA0E9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DD2187"/>
    <w:multiLevelType w:val="hybridMultilevel"/>
    <w:tmpl w:val="E7D0DD6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8"/>
  </w:num>
  <w:num w:numId="5">
    <w:abstractNumId w:val="21"/>
  </w:num>
  <w:num w:numId="6">
    <w:abstractNumId w:val="14"/>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4"/>
    <w:lvlOverride w:ilvl="0">
      <w:startOverride w:val="1"/>
    </w:lvlOverride>
  </w:num>
  <w:num w:numId="12">
    <w:abstractNumId w:val="18"/>
    <w:lvlOverride w:ilvl="0">
      <w:startOverride w:val="1"/>
    </w:lvlOverride>
  </w:num>
  <w:num w:numId="13">
    <w:abstractNumId w:val="14"/>
    <w:lvlOverride w:ilvl="0">
      <w:startOverride w:val="1"/>
    </w:lvlOverride>
  </w:num>
  <w:num w:numId="14">
    <w:abstractNumId w:val="18"/>
    <w:lvlOverride w:ilvl="0">
      <w:startOverride w:val="1"/>
    </w:lvlOverride>
  </w:num>
  <w:num w:numId="15">
    <w:abstractNumId w:val="24"/>
  </w:num>
  <w:num w:numId="16">
    <w:abstractNumId w:val="4"/>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
  </w:num>
  <w:num w:numId="22">
    <w:abstractNumId w:val="15"/>
  </w:num>
  <w:num w:numId="23">
    <w:abstractNumId w:val="3"/>
  </w:num>
  <w:num w:numId="24">
    <w:abstractNumId w:val="17"/>
  </w:num>
  <w:num w:numId="25">
    <w:abstractNumId w:val="22"/>
  </w:num>
  <w:num w:numId="26">
    <w:abstractNumId w:val="12"/>
  </w:num>
  <w:num w:numId="27">
    <w:abstractNumId w:val="14"/>
    <w:lvlOverride w:ilvl="0">
      <w:startOverride w:val="1"/>
    </w:lvlOverride>
  </w:num>
  <w:num w:numId="28">
    <w:abstractNumId w:val="18"/>
    <w:lvlOverride w:ilvl="0">
      <w:startOverride w:val="1"/>
    </w:lvlOverride>
  </w:num>
  <w:num w:numId="29">
    <w:abstractNumId w:val="7"/>
  </w:num>
  <w:num w:numId="30">
    <w:abstractNumId w:val="16"/>
  </w:num>
  <w:num w:numId="31">
    <w:abstractNumId w:val="5"/>
  </w:num>
  <w:num w:numId="32">
    <w:abstractNumId w:val="2"/>
  </w:num>
  <w:num w:numId="33">
    <w:abstractNumId w:val="23"/>
  </w:num>
  <w:num w:numId="34">
    <w:abstractNumId w:val="11"/>
  </w:num>
  <w:num w:numId="35">
    <w:abstractNumId w:val="6"/>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195"/>
    <w:rsid w:val="00001C9B"/>
    <w:rsid w:val="00005F92"/>
    <w:rsid w:val="0000612C"/>
    <w:rsid w:val="000168AB"/>
    <w:rsid w:val="00032CC1"/>
    <w:rsid w:val="00037B5D"/>
    <w:rsid w:val="00056993"/>
    <w:rsid w:val="00081C24"/>
    <w:rsid w:val="0008612A"/>
    <w:rsid w:val="00096EC6"/>
    <w:rsid w:val="000A6F34"/>
    <w:rsid w:val="000B0056"/>
    <w:rsid w:val="000E3450"/>
    <w:rsid w:val="000E76FD"/>
    <w:rsid w:val="000F3A08"/>
    <w:rsid w:val="000F73B4"/>
    <w:rsid w:val="0012454D"/>
    <w:rsid w:val="00133805"/>
    <w:rsid w:val="00141C0B"/>
    <w:rsid w:val="00143F89"/>
    <w:rsid w:val="0016155B"/>
    <w:rsid w:val="0016310F"/>
    <w:rsid w:val="001745F8"/>
    <w:rsid w:val="001838CF"/>
    <w:rsid w:val="00190984"/>
    <w:rsid w:val="001A0849"/>
    <w:rsid w:val="001A3BA4"/>
    <w:rsid w:val="001D46A3"/>
    <w:rsid w:val="001E1634"/>
    <w:rsid w:val="001E30F6"/>
    <w:rsid w:val="001E6227"/>
    <w:rsid w:val="001F15B4"/>
    <w:rsid w:val="0021024C"/>
    <w:rsid w:val="002130EF"/>
    <w:rsid w:val="00215195"/>
    <w:rsid w:val="00225FD1"/>
    <w:rsid w:val="0022653C"/>
    <w:rsid w:val="00234578"/>
    <w:rsid w:val="00235F5C"/>
    <w:rsid w:val="00236271"/>
    <w:rsid w:val="0025228B"/>
    <w:rsid w:val="00252E9A"/>
    <w:rsid w:val="00255E8B"/>
    <w:rsid w:val="00261500"/>
    <w:rsid w:val="002658F1"/>
    <w:rsid w:val="00265AD2"/>
    <w:rsid w:val="00270F11"/>
    <w:rsid w:val="002744BE"/>
    <w:rsid w:val="00281E6C"/>
    <w:rsid w:val="002879C1"/>
    <w:rsid w:val="00296A1C"/>
    <w:rsid w:val="0029793F"/>
    <w:rsid w:val="002A2726"/>
    <w:rsid w:val="002B3023"/>
    <w:rsid w:val="002B4922"/>
    <w:rsid w:val="002C2D19"/>
    <w:rsid w:val="002C7D04"/>
    <w:rsid w:val="002D0744"/>
    <w:rsid w:val="002D10FA"/>
    <w:rsid w:val="002D4C55"/>
    <w:rsid w:val="002E4A04"/>
    <w:rsid w:val="002E4B28"/>
    <w:rsid w:val="002E5A47"/>
    <w:rsid w:val="002F4585"/>
    <w:rsid w:val="0030125F"/>
    <w:rsid w:val="0031545B"/>
    <w:rsid w:val="00320F10"/>
    <w:rsid w:val="003242E4"/>
    <w:rsid w:val="00324C69"/>
    <w:rsid w:val="00325B64"/>
    <w:rsid w:val="00333EA7"/>
    <w:rsid w:val="003835D6"/>
    <w:rsid w:val="003901E8"/>
    <w:rsid w:val="0039187E"/>
    <w:rsid w:val="00394CB5"/>
    <w:rsid w:val="0039623D"/>
    <w:rsid w:val="003A4C83"/>
    <w:rsid w:val="003B00D3"/>
    <w:rsid w:val="003B4C89"/>
    <w:rsid w:val="003B659E"/>
    <w:rsid w:val="003B68BF"/>
    <w:rsid w:val="003C29ED"/>
    <w:rsid w:val="003C2AF5"/>
    <w:rsid w:val="003C4EBD"/>
    <w:rsid w:val="003F0A56"/>
    <w:rsid w:val="00416892"/>
    <w:rsid w:val="00416F5A"/>
    <w:rsid w:val="00417770"/>
    <w:rsid w:val="00425CD0"/>
    <w:rsid w:val="004328C3"/>
    <w:rsid w:val="00434942"/>
    <w:rsid w:val="00435CBC"/>
    <w:rsid w:val="0043750A"/>
    <w:rsid w:val="0044356D"/>
    <w:rsid w:val="00444B35"/>
    <w:rsid w:val="0045456E"/>
    <w:rsid w:val="00472BF0"/>
    <w:rsid w:val="0048407C"/>
    <w:rsid w:val="004A6EF8"/>
    <w:rsid w:val="004B67CE"/>
    <w:rsid w:val="004B7469"/>
    <w:rsid w:val="004E0963"/>
    <w:rsid w:val="004E5E66"/>
    <w:rsid w:val="00503B4D"/>
    <w:rsid w:val="005047FD"/>
    <w:rsid w:val="00504EE9"/>
    <w:rsid w:val="005254E7"/>
    <w:rsid w:val="0053267F"/>
    <w:rsid w:val="00533F9E"/>
    <w:rsid w:val="00534CC1"/>
    <w:rsid w:val="0054442C"/>
    <w:rsid w:val="005456C9"/>
    <w:rsid w:val="00550285"/>
    <w:rsid w:val="00552147"/>
    <w:rsid w:val="0055270B"/>
    <w:rsid w:val="00554434"/>
    <w:rsid w:val="0056688C"/>
    <w:rsid w:val="005836F8"/>
    <w:rsid w:val="005918FA"/>
    <w:rsid w:val="005A2509"/>
    <w:rsid w:val="005B0928"/>
    <w:rsid w:val="005B2105"/>
    <w:rsid w:val="005B367A"/>
    <w:rsid w:val="005B5FA6"/>
    <w:rsid w:val="005C23A4"/>
    <w:rsid w:val="005D1CDF"/>
    <w:rsid w:val="005E61A8"/>
    <w:rsid w:val="005F6419"/>
    <w:rsid w:val="00615003"/>
    <w:rsid w:val="00617400"/>
    <w:rsid w:val="00627CB5"/>
    <w:rsid w:val="0066094F"/>
    <w:rsid w:val="00664950"/>
    <w:rsid w:val="006667BB"/>
    <w:rsid w:val="00672A50"/>
    <w:rsid w:val="006776AF"/>
    <w:rsid w:val="00683220"/>
    <w:rsid w:val="006864EC"/>
    <w:rsid w:val="00686803"/>
    <w:rsid w:val="00687FA0"/>
    <w:rsid w:val="006910AF"/>
    <w:rsid w:val="00693030"/>
    <w:rsid w:val="0069451E"/>
    <w:rsid w:val="006961C5"/>
    <w:rsid w:val="006A1D71"/>
    <w:rsid w:val="006A2E13"/>
    <w:rsid w:val="006B33BD"/>
    <w:rsid w:val="006B7010"/>
    <w:rsid w:val="006C370B"/>
    <w:rsid w:val="006D4078"/>
    <w:rsid w:val="006E4957"/>
    <w:rsid w:val="006E785B"/>
    <w:rsid w:val="00703D70"/>
    <w:rsid w:val="00705521"/>
    <w:rsid w:val="00710A0A"/>
    <w:rsid w:val="007145FF"/>
    <w:rsid w:val="007164FE"/>
    <w:rsid w:val="00726597"/>
    <w:rsid w:val="0073014C"/>
    <w:rsid w:val="00745826"/>
    <w:rsid w:val="00745E75"/>
    <w:rsid w:val="00751515"/>
    <w:rsid w:val="00751D0B"/>
    <w:rsid w:val="00762281"/>
    <w:rsid w:val="00765A32"/>
    <w:rsid w:val="00774E1C"/>
    <w:rsid w:val="007757EF"/>
    <w:rsid w:val="00776A94"/>
    <w:rsid w:val="00785232"/>
    <w:rsid w:val="00785366"/>
    <w:rsid w:val="007979D0"/>
    <w:rsid w:val="007A19F7"/>
    <w:rsid w:val="007A6E80"/>
    <w:rsid w:val="007C0DDA"/>
    <w:rsid w:val="007C3ED0"/>
    <w:rsid w:val="007C4751"/>
    <w:rsid w:val="007C526F"/>
    <w:rsid w:val="007D0416"/>
    <w:rsid w:val="007D0E01"/>
    <w:rsid w:val="008026BB"/>
    <w:rsid w:val="00804EAF"/>
    <w:rsid w:val="0080526F"/>
    <w:rsid w:val="00806A76"/>
    <w:rsid w:val="00811C9D"/>
    <w:rsid w:val="00816C80"/>
    <w:rsid w:val="0082195D"/>
    <w:rsid w:val="008327AA"/>
    <w:rsid w:val="00841BCD"/>
    <w:rsid w:val="00851A8E"/>
    <w:rsid w:val="0085734F"/>
    <w:rsid w:val="0086490D"/>
    <w:rsid w:val="00865609"/>
    <w:rsid w:val="00865B6D"/>
    <w:rsid w:val="00866FFC"/>
    <w:rsid w:val="00875780"/>
    <w:rsid w:val="00877B70"/>
    <w:rsid w:val="00881D0D"/>
    <w:rsid w:val="008826C1"/>
    <w:rsid w:val="00886BCA"/>
    <w:rsid w:val="00887A41"/>
    <w:rsid w:val="008920E8"/>
    <w:rsid w:val="008A5AF5"/>
    <w:rsid w:val="008B006D"/>
    <w:rsid w:val="008C7A76"/>
    <w:rsid w:val="008E42FE"/>
    <w:rsid w:val="008F69B5"/>
    <w:rsid w:val="0090091A"/>
    <w:rsid w:val="009042BD"/>
    <w:rsid w:val="0091794E"/>
    <w:rsid w:val="00920AA8"/>
    <w:rsid w:val="00936A5F"/>
    <w:rsid w:val="0094626C"/>
    <w:rsid w:val="00947C24"/>
    <w:rsid w:val="009542A0"/>
    <w:rsid w:val="00977E1D"/>
    <w:rsid w:val="00985759"/>
    <w:rsid w:val="009962DF"/>
    <w:rsid w:val="009A5F51"/>
    <w:rsid w:val="009D0B5C"/>
    <w:rsid w:val="009F5C6A"/>
    <w:rsid w:val="009F72A2"/>
    <w:rsid w:val="00A011A6"/>
    <w:rsid w:val="00A0584E"/>
    <w:rsid w:val="00A10FBD"/>
    <w:rsid w:val="00A121BF"/>
    <w:rsid w:val="00A121F1"/>
    <w:rsid w:val="00A13F2D"/>
    <w:rsid w:val="00A1552B"/>
    <w:rsid w:val="00A22B78"/>
    <w:rsid w:val="00A2508E"/>
    <w:rsid w:val="00A25AE5"/>
    <w:rsid w:val="00A32F8C"/>
    <w:rsid w:val="00A34385"/>
    <w:rsid w:val="00A37002"/>
    <w:rsid w:val="00A57451"/>
    <w:rsid w:val="00A94811"/>
    <w:rsid w:val="00A94C67"/>
    <w:rsid w:val="00AA1B0E"/>
    <w:rsid w:val="00AC5CA7"/>
    <w:rsid w:val="00AD0309"/>
    <w:rsid w:val="00AE305C"/>
    <w:rsid w:val="00AE56B1"/>
    <w:rsid w:val="00B12C41"/>
    <w:rsid w:val="00B348E9"/>
    <w:rsid w:val="00B43566"/>
    <w:rsid w:val="00B60333"/>
    <w:rsid w:val="00B64D94"/>
    <w:rsid w:val="00B73862"/>
    <w:rsid w:val="00B85D2C"/>
    <w:rsid w:val="00B87E59"/>
    <w:rsid w:val="00BA54BD"/>
    <w:rsid w:val="00BA6E48"/>
    <w:rsid w:val="00BB1369"/>
    <w:rsid w:val="00BC2FC4"/>
    <w:rsid w:val="00BD240C"/>
    <w:rsid w:val="00BF2218"/>
    <w:rsid w:val="00BF75A7"/>
    <w:rsid w:val="00C0205D"/>
    <w:rsid w:val="00C02EA7"/>
    <w:rsid w:val="00C07EA4"/>
    <w:rsid w:val="00C16CF6"/>
    <w:rsid w:val="00C34130"/>
    <w:rsid w:val="00C35D7C"/>
    <w:rsid w:val="00C44779"/>
    <w:rsid w:val="00C4478A"/>
    <w:rsid w:val="00C47D0F"/>
    <w:rsid w:val="00C62ECB"/>
    <w:rsid w:val="00C655DD"/>
    <w:rsid w:val="00C671E9"/>
    <w:rsid w:val="00C736C6"/>
    <w:rsid w:val="00C73E1A"/>
    <w:rsid w:val="00C74FA2"/>
    <w:rsid w:val="00CA26FF"/>
    <w:rsid w:val="00CA5A58"/>
    <w:rsid w:val="00CA67CD"/>
    <w:rsid w:val="00CC12C6"/>
    <w:rsid w:val="00CD7492"/>
    <w:rsid w:val="00CE045D"/>
    <w:rsid w:val="00CE2C3D"/>
    <w:rsid w:val="00CE3A6B"/>
    <w:rsid w:val="00CF70C1"/>
    <w:rsid w:val="00D00211"/>
    <w:rsid w:val="00D06309"/>
    <w:rsid w:val="00D25CEA"/>
    <w:rsid w:val="00D274E5"/>
    <w:rsid w:val="00D351EA"/>
    <w:rsid w:val="00D43403"/>
    <w:rsid w:val="00D4684C"/>
    <w:rsid w:val="00D578C0"/>
    <w:rsid w:val="00D62E71"/>
    <w:rsid w:val="00D71BCE"/>
    <w:rsid w:val="00D740CA"/>
    <w:rsid w:val="00D752E2"/>
    <w:rsid w:val="00D85728"/>
    <w:rsid w:val="00D8650E"/>
    <w:rsid w:val="00D9402E"/>
    <w:rsid w:val="00DC52E1"/>
    <w:rsid w:val="00DE22AD"/>
    <w:rsid w:val="00DF01F7"/>
    <w:rsid w:val="00DF2588"/>
    <w:rsid w:val="00DF2997"/>
    <w:rsid w:val="00E20E69"/>
    <w:rsid w:val="00E23A01"/>
    <w:rsid w:val="00E311D5"/>
    <w:rsid w:val="00E32383"/>
    <w:rsid w:val="00E52640"/>
    <w:rsid w:val="00E55E9C"/>
    <w:rsid w:val="00E754BA"/>
    <w:rsid w:val="00E80630"/>
    <w:rsid w:val="00E93F8A"/>
    <w:rsid w:val="00EB5E12"/>
    <w:rsid w:val="00EC7BC3"/>
    <w:rsid w:val="00ED7600"/>
    <w:rsid w:val="00EE23BC"/>
    <w:rsid w:val="00EE31A1"/>
    <w:rsid w:val="00EE6DF9"/>
    <w:rsid w:val="00EF637C"/>
    <w:rsid w:val="00F007B3"/>
    <w:rsid w:val="00F1362C"/>
    <w:rsid w:val="00F604FA"/>
    <w:rsid w:val="00F639C7"/>
    <w:rsid w:val="00F824F5"/>
    <w:rsid w:val="00F87AE4"/>
    <w:rsid w:val="00F91FAC"/>
    <w:rsid w:val="00FA3635"/>
    <w:rsid w:val="00FB47F6"/>
    <w:rsid w:val="00FC29B9"/>
    <w:rsid w:val="00FC6FD3"/>
    <w:rsid w:val="00FF0301"/>
    <w:rsid w:val="00FF2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E73F9"/>
  <w15:chartTrackingRefBased/>
  <w15:docId w15:val="{F33D3C7F-2F6A-4D6A-80EA-775F44AE3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879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0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AA8"/>
    <w:rPr>
      <w:rFonts w:ascii="Segoe UI" w:hAnsi="Segoe UI" w:cs="Segoe UI"/>
      <w:sz w:val="18"/>
      <w:szCs w:val="18"/>
    </w:rPr>
  </w:style>
  <w:style w:type="character" w:styleId="CommentReference">
    <w:name w:val="annotation reference"/>
    <w:basedOn w:val="DefaultParagraphFont"/>
    <w:uiPriority w:val="99"/>
    <w:semiHidden/>
    <w:unhideWhenUsed/>
    <w:rsid w:val="00320F10"/>
    <w:rPr>
      <w:sz w:val="16"/>
      <w:szCs w:val="16"/>
    </w:rPr>
  </w:style>
  <w:style w:type="paragraph" w:styleId="CommentText">
    <w:name w:val="annotation text"/>
    <w:basedOn w:val="Normal"/>
    <w:link w:val="CommentTextChar"/>
    <w:uiPriority w:val="99"/>
    <w:semiHidden/>
    <w:unhideWhenUsed/>
    <w:rsid w:val="00320F10"/>
    <w:pPr>
      <w:spacing w:line="240" w:lineRule="auto"/>
    </w:pPr>
    <w:rPr>
      <w:szCs w:val="20"/>
    </w:rPr>
  </w:style>
  <w:style w:type="character" w:customStyle="1" w:styleId="CommentTextChar">
    <w:name w:val="Comment Text Char"/>
    <w:basedOn w:val="DefaultParagraphFont"/>
    <w:link w:val="CommentText"/>
    <w:uiPriority w:val="99"/>
    <w:semiHidden/>
    <w:rsid w:val="00320F1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0F10"/>
    <w:rPr>
      <w:b/>
      <w:bCs/>
    </w:rPr>
  </w:style>
  <w:style w:type="character" w:customStyle="1" w:styleId="CommentSubjectChar">
    <w:name w:val="Comment Subject Char"/>
    <w:basedOn w:val="CommentTextChar"/>
    <w:link w:val="CommentSubject"/>
    <w:uiPriority w:val="99"/>
    <w:semiHidden/>
    <w:rsid w:val="00320F10"/>
    <w:rPr>
      <w:rFonts w:ascii="Times New Roman" w:hAnsi="Times New Roman"/>
      <w:b/>
      <w:bCs/>
      <w:sz w:val="20"/>
      <w:szCs w:val="20"/>
    </w:rPr>
  </w:style>
  <w:style w:type="character" w:customStyle="1" w:styleId="Heading5Char">
    <w:name w:val="Heading 5 Char"/>
    <w:basedOn w:val="DefaultParagraphFont"/>
    <w:link w:val="Heading5"/>
    <w:uiPriority w:val="9"/>
    <w:semiHidden/>
    <w:rsid w:val="002879C1"/>
    <w:rPr>
      <w:rFonts w:asciiTheme="majorHAnsi" w:eastAsiaTheme="majorEastAsia" w:hAnsiTheme="majorHAnsi" w:cstheme="majorBidi"/>
      <w:color w:val="2F5496" w:themeColor="accent1" w:themeShade="BF"/>
      <w:sz w:val="20"/>
    </w:rPr>
  </w:style>
  <w:style w:type="character" w:styleId="FollowedHyperlink">
    <w:name w:val="FollowedHyperlink"/>
    <w:basedOn w:val="DefaultParagraphFont"/>
    <w:uiPriority w:val="99"/>
    <w:semiHidden/>
    <w:unhideWhenUsed/>
    <w:rsid w:val="00225FD1"/>
    <w:rPr>
      <w:color w:val="954F72" w:themeColor="followedHyperlink"/>
      <w:u w:val="single"/>
    </w:rPr>
  </w:style>
  <w:style w:type="character" w:styleId="UnresolvedMention">
    <w:name w:val="Unresolved Mention"/>
    <w:basedOn w:val="DefaultParagraphFont"/>
    <w:uiPriority w:val="99"/>
    <w:semiHidden/>
    <w:unhideWhenUsed/>
    <w:rsid w:val="009962DF"/>
    <w:rPr>
      <w:color w:val="605E5C"/>
      <w:shd w:val="clear" w:color="auto" w:fill="E1DFDD"/>
    </w:rPr>
  </w:style>
  <w:style w:type="character" w:customStyle="1" w:styleId="EQChar">
    <w:name w:val="EQ Char"/>
    <w:link w:val="EQ"/>
    <w:locked/>
    <w:rsid w:val="0025228B"/>
    <w:rPr>
      <w:noProof/>
    </w:rPr>
  </w:style>
  <w:style w:type="paragraph" w:customStyle="1" w:styleId="EQ">
    <w:name w:val="EQ"/>
    <w:basedOn w:val="Normal"/>
    <w:next w:val="Normal"/>
    <w:link w:val="EQChar"/>
    <w:rsid w:val="0025228B"/>
    <w:pPr>
      <w:keepLines/>
      <w:tabs>
        <w:tab w:val="center" w:pos="4536"/>
        <w:tab w:val="right" w:pos="9072"/>
      </w:tabs>
      <w:spacing w:after="180" w:line="240" w:lineRule="auto"/>
    </w:pPr>
    <w:rPr>
      <w:rFonts w:asciiTheme="minorHAnsi" w:hAnsiTheme="minorHAnsi"/>
      <w:noProof/>
      <w:sz w:val="22"/>
    </w:rPr>
  </w:style>
  <w:style w:type="character" w:styleId="PlaceholderText">
    <w:name w:val="Placeholder Text"/>
    <w:basedOn w:val="DefaultParagraphFont"/>
    <w:uiPriority w:val="99"/>
    <w:semiHidden/>
    <w:rsid w:val="009F5C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301">
      <w:bodyDiv w:val="1"/>
      <w:marLeft w:val="0"/>
      <w:marRight w:val="0"/>
      <w:marTop w:val="0"/>
      <w:marBottom w:val="0"/>
      <w:divBdr>
        <w:top w:val="none" w:sz="0" w:space="0" w:color="auto"/>
        <w:left w:val="none" w:sz="0" w:space="0" w:color="auto"/>
        <w:bottom w:val="none" w:sz="0" w:space="0" w:color="auto"/>
        <w:right w:val="none" w:sz="0" w:space="0" w:color="auto"/>
      </w:divBdr>
    </w:div>
    <w:div w:id="63265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227">
          <w:marLeft w:val="547"/>
          <w:marRight w:val="0"/>
          <w:marTop w:val="130"/>
          <w:marBottom w:val="0"/>
          <w:divBdr>
            <w:top w:val="none" w:sz="0" w:space="0" w:color="auto"/>
            <w:left w:val="none" w:sz="0" w:space="0" w:color="auto"/>
            <w:bottom w:val="none" w:sz="0" w:space="0" w:color="auto"/>
            <w:right w:val="none" w:sz="0" w:space="0" w:color="auto"/>
          </w:divBdr>
        </w:div>
        <w:div w:id="1314410083">
          <w:marLeft w:val="1166"/>
          <w:marRight w:val="0"/>
          <w:marTop w:val="86"/>
          <w:marBottom w:val="0"/>
          <w:divBdr>
            <w:top w:val="none" w:sz="0" w:space="0" w:color="auto"/>
            <w:left w:val="none" w:sz="0" w:space="0" w:color="auto"/>
            <w:bottom w:val="none" w:sz="0" w:space="0" w:color="auto"/>
            <w:right w:val="none" w:sz="0" w:space="0" w:color="auto"/>
          </w:divBdr>
        </w:div>
        <w:div w:id="1529027350">
          <w:marLeft w:val="1166"/>
          <w:marRight w:val="0"/>
          <w:marTop w:val="86"/>
          <w:marBottom w:val="0"/>
          <w:divBdr>
            <w:top w:val="none" w:sz="0" w:space="0" w:color="auto"/>
            <w:left w:val="none" w:sz="0" w:space="0" w:color="auto"/>
            <w:bottom w:val="none" w:sz="0" w:space="0" w:color="auto"/>
            <w:right w:val="none" w:sz="0" w:space="0" w:color="auto"/>
          </w:divBdr>
        </w:div>
        <w:div w:id="1823354773">
          <w:marLeft w:val="1166"/>
          <w:marRight w:val="0"/>
          <w:marTop w:val="86"/>
          <w:marBottom w:val="0"/>
          <w:divBdr>
            <w:top w:val="none" w:sz="0" w:space="0" w:color="auto"/>
            <w:left w:val="none" w:sz="0" w:space="0" w:color="auto"/>
            <w:bottom w:val="none" w:sz="0" w:space="0" w:color="auto"/>
            <w:right w:val="none" w:sz="0" w:space="0" w:color="auto"/>
          </w:divBdr>
        </w:div>
        <w:div w:id="2144075948">
          <w:marLeft w:val="1166"/>
          <w:marRight w:val="0"/>
          <w:marTop w:val="86"/>
          <w:marBottom w:val="0"/>
          <w:divBdr>
            <w:top w:val="none" w:sz="0" w:space="0" w:color="auto"/>
            <w:left w:val="none" w:sz="0" w:space="0" w:color="auto"/>
            <w:bottom w:val="none" w:sz="0" w:space="0" w:color="auto"/>
            <w:right w:val="none" w:sz="0" w:space="0" w:color="auto"/>
          </w:divBdr>
        </w:div>
      </w:divsChild>
    </w:div>
    <w:div w:id="292291103">
      <w:bodyDiv w:val="1"/>
      <w:marLeft w:val="0"/>
      <w:marRight w:val="0"/>
      <w:marTop w:val="0"/>
      <w:marBottom w:val="0"/>
      <w:divBdr>
        <w:top w:val="none" w:sz="0" w:space="0" w:color="auto"/>
        <w:left w:val="none" w:sz="0" w:space="0" w:color="auto"/>
        <w:bottom w:val="none" w:sz="0" w:space="0" w:color="auto"/>
        <w:right w:val="none" w:sz="0" w:space="0" w:color="auto"/>
      </w:divBdr>
    </w:div>
    <w:div w:id="304746291">
      <w:bodyDiv w:val="1"/>
      <w:marLeft w:val="0"/>
      <w:marRight w:val="0"/>
      <w:marTop w:val="0"/>
      <w:marBottom w:val="0"/>
      <w:divBdr>
        <w:top w:val="none" w:sz="0" w:space="0" w:color="auto"/>
        <w:left w:val="none" w:sz="0" w:space="0" w:color="auto"/>
        <w:bottom w:val="none" w:sz="0" w:space="0" w:color="auto"/>
        <w:right w:val="none" w:sz="0" w:space="0" w:color="auto"/>
      </w:divBdr>
      <w:divsChild>
        <w:div w:id="618220466">
          <w:marLeft w:val="1166"/>
          <w:marRight w:val="0"/>
          <w:marTop w:val="134"/>
          <w:marBottom w:val="0"/>
          <w:divBdr>
            <w:top w:val="none" w:sz="0" w:space="0" w:color="auto"/>
            <w:left w:val="none" w:sz="0" w:space="0" w:color="auto"/>
            <w:bottom w:val="none" w:sz="0" w:space="0" w:color="auto"/>
            <w:right w:val="none" w:sz="0" w:space="0" w:color="auto"/>
          </w:divBdr>
        </w:div>
        <w:div w:id="1322153888">
          <w:marLeft w:val="547"/>
          <w:marRight w:val="0"/>
          <w:marTop w:val="154"/>
          <w:marBottom w:val="0"/>
          <w:divBdr>
            <w:top w:val="none" w:sz="0" w:space="0" w:color="auto"/>
            <w:left w:val="none" w:sz="0" w:space="0" w:color="auto"/>
            <w:bottom w:val="none" w:sz="0" w:space="0" w:color="auto"/>
            <w:right w:val="none" w:sz="0" w:space="0" w:color="auto"/>
          </w:divBdr>
        </w:div>
      </w:divsChild>
    </w:div>
    <w:div w:id="657807759">
      <w:bodyDiv w:val="1"/>
      <w:marLeft w:val="0"/>
      <w:marRight w:val="0"/>
      <w:marTop w:val="0"/>
      <w:marBottom w:val="0"/>
      <w:divBdr>
        <w:top w:val="none" w:sz="0" w:space="0" w:color="auto"/>
        <w:left w:val="none" w:sz="0" w:space="0" w:color="auto"/>
        <w:bottom w:val="none" w:sz="0" w:space="0" w:color="auto"/>
        <w:right w:val="none" w:sz="0" w:space="0" w:color="auto"/>
      </w:divBdr>
    </w:div>
    <w:div w:id="700932180">
      <w:bodyDiv w:val="1"/>
      <w:marLeft w:val="0"/>
      <w:marRight w:val="0"/>
      <w:marTop w:val="0"/>
      <w:marBottom w:val="0"/>
      <w:divBdr>
        <w:top w:val="none" w:sz="0" w:space="0" w:color="auto"/>
        <w:left w:val="none" w:sz="0" w:space="0" w:color="auto"/>
        <w:bottom w:val="none" w:sz="0" w:space="0" w:color="auto"/>
        <w:right w:val="none" w:sz="0" w:space="0" w:color="auto"/>
      </w:divBdr>
    </w:div>
    <w:div w:id="814103394">
      <w:bodyDiv w:val="1"/>
      <w:marLeft w:val="0"/>
      <w:marRight w:val="0"/>
      <w:marTop w:val="0"/>
      <w:marBottom w:val="0"/>
      <w:divBdr>
        <w:top w:val="none" w:sz="0" w:space="0" w:color="auto"/>
        <w:left w:val="none" w:sz="0" w:space="0" w:color="auto"/>
        <w:bottom w:val="none" w:sz="0" w:space="0" w:color="auto"/>
        <w:right w:val="none" w:sz="0" w:space="0" w:color="auto"/>
      </w:divBdr>
      <w:divsChild>
        <w:div w:id="475488551">
          <w:marLeft w:val="1440"/>
          <w:marRight w:val="0"/>
          <w:marTop w:val="110"/>
          <w:marBottom w:val="0"/>
          <w:divBdr>
            <w:top w:val="none" w:sz="0" w:space="0" w:color="auto"/>
            <w:left w:val="none" w:sz="0" w:space="0" w:color="auto"/>
            <w:bottom w:val="none" w:sz="0" w:space="0" w:color="auto"/>
            <w:right w:val="none" w:sz="0" w:space="0" w:color="auto"/>
          </w:divBdr>
        </w:div>
        <w:div w:id="1374231078">
          <w:marLeft w:val="1440"/>
          <w:marRight w:val="0"/>
          <w:marTop w:val="110"/>
          <w:marBottom w:val="0"/>
          <w:divBdr>
            <w:top w:val="none" w:sz="0" w:space="0" w:color="auto"/>
            <w:left w:val="none" w:sz="0" w:space="0" w:color="auto"/>
            <w:bottom w:val="none" w:sz="0" w:space="0" w:color="auto"/>
            <w:right w:val="none" w:sz="0" w:space="0" w:color="auto"/>
          </w:divBdr>
        </w:div>
        <w:div w:id="1659920846">
          <w:marLeft w:val="547"/>
          <w:marRight w:val="0"/>
          <w:marTop w:val="130"/>
          <w:marBottom w:val="0"/>
          <w:divBdr>
            <w:top w:val="none" w:sz="0" w:space="0" w:color="auto"/>
            <w:left w:val="none" w:sz="0" w:space="0" w:color="auto"/>
            <w:bottom w:val="none" w:sz="0" w:space="0" w:color="auto"/>
            <w:right w:val="none" w:sz="0" w:space="0" w:color="auto"/>
          </w:divBdr>
        </w:div>
        <w:div w:id="1815221984">
          <w:marLeft w:val="1440"/>
          <w:marRight w:val="0"/>
          <w:marTop w:val="110"/>
          <w:marBottom w:val="0"/>
          <w:divBdr>
            <w:top w:val="none" w:sz="0" w:space="0" w:color="auto"/>
            <w:left w:val="none" w:sz="0" w:space="0" w:color="auto"/>
            <w:bottom w:val="none" w:sz="0" w:space="0" w:color="auto"/>
            <w:right w:val="none" w:sz="0" w:space="0" w:color="auto"/>
          </w:divBdr>
        </w:div>
      </w:divsChild>
    </w:div>
    <w:div w:id="965281551">
      <w:bodyDiv w:val="1"/>
      <w:marLeft w:val="0"/>
      <w:marRight w:val="0"/>
      <w:marTop w:val="0"/>
      <w:marBottom w:val="0"/>
      <w:divBdr>
        <w:top w:val="none" w:sz="0" w:space="0" w:color="auto"/>
        <w:left w:val="none" w:sz="0" w:space="0" w:color="auto"/>
        <w:bottom w:val="none" w:sz="0" w:space="0" w:color="auto"/>
        <w:right w:val="none" w:sz="0" w:space="0" w:color="auto"/>
      </w:divBdr>
    </w:div>
    <w:div w:id="967315588">
      <w:bodyDiv w:val="1"/>
      <w:marLeft w:val="0"/>
      <w:marRight w:val="0"/>
      <w:marTop w:val="0"/>
      <w:marBottom w:val="0"/>
      <w:divBdr>
        <w:top w:val="none" w:sz="0" w:space="0" w:color="auto"/>
        <w:left w:val="none" w:sz="0" w:space="0" w:color="auto"/>
        <w:bottom w:val="none" w:sz="0" w:space="0" w:color="auto"/>
        <w:right w:val="none" w:sz="0" w:space="0" w:color="auto"/>
      </w:divBdr>
    </w:div>
    <w:div w:id="1286812254">
      <w:bodyDiv w:val="1"/>
      <w:marLeft w:val="0"/>
      <w:marRight w:val="0"/>
      <w:marTop w:val="0"/>
      <w:marBottom w:val="0"/>
      <w:divBdr>
        <w:top w:val="none" w:sz="0" w:space="0" w:color="auto"/>
        <w:left w:val="none" w:sz="0" w:space="0" w:color="auto"/>
        <w:bottom w:val="none" w:sz="0" w:space="0" w:color="auto"/>
        <w:right w:val="none" w:sz="0" w:space="0" w:color="auto"/>
      </w:divBdr>
    </w:div>
    <w:div w:id="1549681603">
      <w:bodyDiv w:val="1"/>
      <w:marLeft w:val="0"/>
      <w:marRight w:val="0"/>
      <w:marTop w:val="0"/>
      <w:marBottom w:val="0"/>
      <w:divBdr>
        <w:top w:val="none" w:sz="0" w:space="0" w:color="auto"/>
        <w:left w:val="none" w:sz="0" w:space="0" w:color="auto"/>
        <w:bottom w:val="none" w:sz="0" w:space="0" w:color="auto"/>
        <w:right w:val="none" w:sz="0" w:space="0" w:color="auto"/>
      </w:divBdr>
      <w:divsChild>
        <w:div w:id="130445285">
          <w:marLeft w:val="1166"/>
          <w:marRight w:val="0"/>
          <w:marTop w:val="86"/>
          <w:marBottom w:val="0"/>
          <w:divBdr>
            <w:top w:val="none" w:sz="0" w:space="0" w:color="auto"/>
            <w:left w:val="none" w:sz="0" w:space="0" w:color="auto"/>
            <w:bottom w:val="none" w:sz="0" w:space="0" w:color="auto"/>
            <w:right w:val="none" w:sz="0" w:space="0" w:color="auto"/>
          </w:divBdr>
        </w:div>
        <w:div w:id="389378993">
          <w:marLeft w:val="1166"/>
          <w:marRight w:val="0"/>
          <w:marTop w:val="86"/>
          <w:marBottom w:val="0"/>
          <w:divBdr>
            <w:top w:val="none" w:sz="0" w:space="0" w:color="auto"/>
            <w:left w:val="none" w:sz="0" w:space="0" w:color="auto"/>
            <w:bottom w:val="none" w:sz="0" w:space="0" w:color="auto"/>
            <w:right w:val="none" w:sz="0" w:space="0" w:color="auto"/>
          </w:divBdr>
        </w:div>
        <w:div w:id="519659649">
          <w:marLeft w:val="1166"/>
          <w:marRight w:val="0"/>
          <w:marTop w:val="86"/>
          <w:marBottom w:val="0"/>
          <w:divBdr>
            <w:top w:val="none" w:sz="0" w:space="0" w:color="auto"/>
            <w:left w:val="none" w:sz="0" w:space="0" w:color="auto"/>
            <w:bottom w:val="none" w:sz="0" w:space="0" w:color="auto"/>
            <w:right w:val="none" w:sz="0" w:space="0" w:color="auto"/>
          </w:divBdr>
        </w:div>
        <w:div w:id="1000352196">
          <w:marLeft w:val="547"/>
          <w:marRight w:val="0"/>
          <w:marTop w:val="130"/>
          <w:marBottom w:val="0"/>
          <w:divBdr>
            <w:top w:val="none" w:sz="0" w:space="0" w:color="auto"/>
            <w:left w:val="none" w:sz="0" w:space="0" w:color="auto"/>
            <w:bottom w:val="none" w:sz="0" w:space="0" w:color="auto"/>
            <w:right w:val="none" w:sz="0" w:space="0" w:color="auto"/>
          </w:divBdr>
        </w:div>
        <w:div w:id="1522084002">
          <w:marLeft w:val="1166"/>
          <w:marRight w:val="0"/>
          <w:marTop w:val="86"/>
          <w:marBottom w:val="0"/>
          <w:divBdr>
            <w:top w:val="none" w:sz="0" w:space="0" w:color="auto"/>
            <w:left w:val="none" w:sz="0" w:space="0" w:color="auto"/>
            <w:bottom w:val="none" w:sz="0" w:space="0" w:color="auto"/>
            <w:right w:val="none" w:sz="0" w:space="0" w:color="auto"/>
          </w:divBdr>
        </w:div>
      </w:divsChild>
    </w:div>
    <w:div w:id="1705254459">
      <w:bodyDiv w:val="1"/>
      <w:marLeft w:val="0"/>
      <w:marRight w:val="0"/>
      <w:marTop w:val="0"/>
      <w:marBottom w:val="0"/>
      <w:divBdr>
        <w:top w:val="none" w:sz="0" w:space="0" w:color="auto"/>
        <w:left w:val="none" w:sz="0" w:space="0" w:color="auto"/>
        <w:bottom w:val="none" w:sz="0" w:space="0" w:color="auto"/>
        <w:right w:val="none" w:sz="0" w:space="0" w:color="auto"/>
      </w:divBdr>
      <w:divsChild>
        <w:div w:id="44108024">
          <w:marLeft w:val="1800"/>
          <w:marRight w:val="0"/>
          <w:marTop w:val="82"/>
          <w:marBottom w:val="0"/>
          <w:divBdr>
            <w:top w:val="none" w:sz="0" w:space="0" w:color="auto"/>
            <w:left w:val="none" w:sz="0" w:space="0" w:color="auto"/>
            <w:bottom w:val="none" w:sz="0" w:space="0" w:color="auto"/>
            <w:right w:val="none" w:sz="0" w:space="0" w:color="auto"/>
          </w:divBdr>
        </w:div>
        <w:div w:id="157422886">
          <w:marLeft w:val="1166"/>
          <w:marRight w:val="0"/>
          <w:marTop w:val="96"/>
          <w:marBottom w:val="0"/>
          <w:divBdr>
            <w:top w:val="none" w:sz="0" w:space="0" w:color="auto"/>
            <w:left w:val="none" w:sz="0" w:space="0" w:color="auto"/>
            <w:bottom w:val="none" w:sz="0" w:space="0" w:color="auto"/>
            <w:right w:val="none" w:sz="0" w:space="0" w:color="auto"/>
          </w:divBdr>
        </w:div>
        <w:div w:id="438112934">
          <w:marLeft w:val="547"/>
          <w:marRight w:val="0"/>
          <w:marTop w:val="106"/>
          <w:marBottom w:val="0"/>
          <w:divBdr>
            <w:top w:val="none" w:sz="0" w:space="0" w:color="auto"/>
            <w:left w:val="none" w:sz="0" w:space="0" w:color="auto"/>
            <w:bottom w:val="none" w:sz="0" w:space="0" w:color="auto"/>
            <w:right w:val="none" w:sz="0" w:space="0" w:color="auto"/>
          </w:divBdr>
        </w:div>
        <w:div w:id="595019319">
          <w:marLeft w:val="1800"/>
          <w:marRight w:val="0"/>
          <w:marTop w:val="82"/>
          <w:marBottom w:val="0"/>
          <w:divBdr>
            <w:top w:val="none" w:sz="0" w:space="0" w:color="auto"/>
            <w:left w:val="none" w:sz="0" w:space="0" w:color="auto"/>
            <w:bottom w:val="none" w:sz="0" w:space="0" w:color="auto"/>
            <w:right w:val="none" w:sz="0" w:space="0" w:color="auto"/>
          </w:divBdr>
        </w:div>
        <w:div w:id="1294409776">
          <w:marLeft w:val="547"/>
          <w:marRight w:val="0"/>
          <w:marTop w:val="106"/>
          <w:marBottom w:val="0"/>
          <w:divBdr>
            <w:top w:val="none" w:sz="0" w:space="0" w:color="auto"/>
            <w:left w:val="none" w:sz="0" w:space="0" w:color="auto"/>
            <w:bottom w:val="none" w:sz="0" w:space="0" w:color="auto"/>
            <w:right w:val="none" w:sz="0" w:space="0" w:color="auto"/>
          </w:divBdr>
        </w:div>
        <w:div w:id="1807357971">
          <w:marLeft w:val="1166"/>
          <w:marRight w:val="0"/>
          <w:marTop w:val="96"/>
          <w:marBottom w:val="0"/>
          <w:divBdr>
            <w:top w:val="none" w:sz="0" w:space="0" w:color="auto"/>
            <w:left w:val="none" w:sz="0" w:space="0" w:color="auto"/>
            <w:bottom w:val="none" w:sz="0" w:space="0" w:color="auto"/>
            <w:right w:val="none" w:sz="0" w:space="0" w:color="auto"/>
          </w:divBdr>
        </w:div>
        <w:div w:id="2065445609">
          <w:marLeft w:val="1800"/>
          <w:marRight w:val="0"/>
          <w:marTop w:val="82"/>
          <w:marBottom w:val="0"/>
          <w:divBdr>
            <w:top w:val="none" w:sz="0" w:space="0" w:color="auto"/>
            <w:left w:val="none" w:sz="0" w:space="0" w:color="auto"/>
            <w:bottom w:val="none" w:sz="0" w:space="0" w:color="auto"/>
            <w:right w:val="none" w:sz="0" w:space="0" w:color="auto"/>
          </w:divBdr>
        </w:div>
        <w:div w:id="2129350010">
          <w:marLeft w:val="1166"/>
          <w:marRight w:val="0"/>
          <w:marTop w:val="96"/>
          <w:marBottom w:val="0"/>
          <w:divBdr>
            <w:top w:val="none" w:sz="0" w:space="0" w:color="auto"/>
            <w:left w:val="none" w:sz="0" w:space="0" w:color="auto"/>
            <w:bottom w:val="none" w:sz="0" w:space="0" w:color="auto"/>
            <w:right w:val="none" w:sz="0" w:space="0" w:color="auto"/>
          </w:divBdr>
        </w:div>
      </w:divsChild>
    </w:div>
    <w:div w:id="1816335538">
      <w:bodyDiv w:val="1"/>
      <w:marLeft w:val="0"/>
      <w:marRight w:val="0"/>
      <w:marTop w:val="0"/>
      <w:marBottom w:val="0"/>
      <w:divBdr>
        <w:top w:val="none" w:sz="0" w:space="0" w:color="auto"/>
        <w:left w:val="none" w:sz="0" w:space="0" w:color="auto"/>
        <w:bottom w:val="none" w:sz="0" w:space="0" w:color="auto"/>
        <w:right w:val="none" w:sz="0" w:space="0" w:color="auto"/>
      </w:divBdr>
    </w:div>
    <w:div w:id="1816868938">
      <w:bodyDiv w:val="1"/>
      <w:marLeft w:val="0"/>
      <w:marRight w:val="0"/>
      <w:marTop w:val="0"/>
      <w:marBottom w:val="0"/>
      <w:divBdr>
        <w:top w:val="none" w:sz="0" w:space="0" w:color="auto"/>
        <w:left w:val="none" w:sz="0" w:space="0" w:color="auto"/>
        <w:bottom w:val="none" w:sz="0" w:space="0" w:color="auto"/>
        <w:right w:val="none" w:sz="0" w:space="0" w:color="auto"/>
      </w:divBdr>
    </w:div>
    <w:div w:id="1950506759">
      <w:bodyDiv w:val="1"/>
      <w:marLeft w:val="0"/>
      <w:marRight w:val="0"/>
      <w:marTop w:val="0"/>
      <w:marBottom w:val="0"/>
      <w:divBdr>
        <w:top w:val="none" w:sz="0" w:space="0" w:color="auto"/>
        <w:left w:val="none" w:sz="0" w:space="0" w:color="auto"/>
        <w:bottom w:val="none" w:sz="0" w:space="0" w:color="auto"/>
        <w:right w:val="none" w:sz="0" w:space="0" w:color="auto"/>
      </w:divBdr>
      <w:divsChild>
        <w:div w:id="1243180104">
          <w:marLeft w:val="1166"/>
          <w:marRight w:val="0"/>
          <w:marTop w:val="110"/>
          <w:marBottom w:val="0"/>
          <w:divBdr>
            <w:top w:val="none" w:sz="0" w:space="0" w:color="auto"/>
            <w:left w:val="none" w:sz="0" w:space="0" w:color="auto"/>
            <w:bottom w:val="none" w:sz="0" w:space="0" w:color="auto"/>
            <w:right w:val="none" w:sz="0" w:space="0" w:color="auto"/>
          </w:divBdr>
        </w:div>
        <w:div w:id="1499810776">
          <w:marLeft w:val="547"/>
          <w:marRight w:val="0"/>
          <w:marTop w:val="130"/>
          <w:marBottom w:val="0"/>
          <w:divBdr>
            <w:top w:val="none" w:sz="0" w:space="0" w:color="auto"/>
            <w:left w:val="none" w:sz="0" w:space="0" w:color="auto"/>
            <w:bottom w:val="none" w:sz="0" w:space="0" w:color="auto"/>
            <w:right w:val="none" w:sz="0" w:space="0" w:color="auto"/>
          </w:divBdr>
        </w:div>
        <w:div w:id="1739472460">
          <w:marLeft w:val="1166"/>
          <w:marRight w:val="0"/>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15FA8-8C7C-4912-B45B-0075BC7C1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548C17-922E-4B1E-8283-069D586DBCAF}">
  <ds:schemaRefs>
    <ds:schemaRef ds:uri="Microsoft.SharePoint.Taxonomy.ContentTypeSync"/>
  </ds:schemaRefs>
</ds:datastoreItem>
</file>

<file path=customXml/itemProps3.xml><?xml version="1.0" encoding="utf-8"?>
<ds:datastoreItem xmlns:ds="http://schemas.openxmlformats.org/officeDocument/2006/customXml" ds:itemID="{CF9A2923-A390-4BF6-9385-AF2136CE7180}">
  <ds:schemaRefs>
    <ds:schemaRef ds:uri="http://schemas.microsoft.com/sharepoint/events"/>
  </ds:schemaRefs>
</ds:datastoreItem>
</file>

<file path=customXml/itemProps4.xml><?xml version="1.0" encoding="utf-8"?>
<ds:datastoreItem xmlns:ds="http://schemas.openxmlformats.org/officeDocument/2006/customXml" ds:itemID="{26A3FA52-9DB6-44BD-B0ED-CBBF07C0ED0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FF446D-55A7-4588-A1FC-2912EC5BCEA4}">
  <ds:schemaRefs>
    <ds:schemaRef ds:uri="http://schemas.microsoft.com/sharepoint/v3/contenttype/forms"/>
  </ds:schemaRefs>
</ds:datastoreItem>
</file>

<file path=customXml/itemProps6.xml><?xml version="1.0" encoding="utf-8"?>
<ds:datastoreItem xmlns:ds="http://schemas.openxmlformats.org/officeDocument/2006/customXml" ds:itemID="{E1ECE6DC-2446-45CA-84CF-6A514539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2039</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6</cp:revision>
  <dcterms:created xsi:type="dcterms:W3CDTF">2019-10-04T15:32:00Z</dcterms:created>
  <dcterms:modified xsi:type="dcterms:W3CDTF">2019-10-04T15:57:00Z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